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F3A" w14:textId="11702B8D" w:rsidR="003C503A" w:rsidRPr="003C503A" w:rsidRDefault="002E0DDE" w:rsidP="003C503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es-DO"/>
        </w:rPr>
      </w:pPr>
      <w:r>
        <w:rPr>
          <w:rFonts w:ascii="Book Antiqua" w:hAnsi="Book Antiqua"/>
          <w:b/>
          <w:sz w:val="24"/>
          <w:szCs w:val="24"/>
          <w:lang w:val="es-DO"/>
        </w:rPr>
        <w:t xml:space="preserve">Aspectos que son tomados en cuenta por la Dirección General Contrataciones Públicas </w:t>
      </w:r>
      <w:r w:rsidR="00CC702D">
        <w:rPr>
          <w:rFonts w:ascii="Book Antiqua" w:hAnsi="Book Antiqua"/>
          <w:b/>
          <w:sz w:val="24"/>
          <w:szCs w:val="24"/>
          <w:lang w:val="es-DO"/>
        </w:rPr>
        <w:t xml:space="preserve">para </w:t>
      </w:r>
      <w:r>
        <w:rPr>
          <w:rFonts w:ascii="Book Antiqua" w:hAnsi="Book Antiqua"/>
          <w:b/>
          <w:sz w:val="24"/>
          <w:szCs w:val="24"/>
          <w:lang w:val="es-DO"/>
        </w:rPr>
        <w:t xml:space="preserve">el </w:t>
      </w:r>
      <w:r w:rsidR="003C503A">
        <w:rPr>
          <w:rFonts w:ascii="Book Antiqua" w:hAnsi="Book Antiqua"/>
          <w:b/>
          <w:sz w:val="24"/>
          <w:szCs w:val="24"/>
          <w:lang w:val="es-DO"/>
        </w:rPr>
        <w:t xml:space="preserve">cálculo de </w:t>
      </w:r>
      <w:r w:rsidR="003C503A" w:rsidRPr="003C503A">
        <w:rPr>
          <w:rFonts w:ascii="Book Antiqua" w:hAnsi="Book Antiqua"/>
          <w:b/>
          <w:sz w:val="24"/>
          <w:szCs w:val="24"/>
          <w:lang w:val="es-DO"/>
        </w:rPr>
        <w:t xml:space="preserve">los umbrales topes </w:t>
      </w:r>
      <w:r w:rsidR="00CC702D">
        <w:rPr>
          <w:rFonts w:ascii="Book Antiqua" w:hAnsi="Book Antiqua"/>
          <w:b/>
          <w:sz w:val="24"/>
          <w:szCs w:val="24"/>
          <w:lang w:val="es-DO"/>
        </w:rPr>
        <w:t xml:space="preserve">que se utilizan </w:t>
      </w:r>
      <w:r>
        <w:rPr>
          <w:rFonts w:ascii="Book Antiqua" w:hAnsi="Book Antiqua"/>
          <w:b/>
          <w:sz w:val="24"/>
          <w:szCs w:val="24"/>
          <w:lang w:val="es-DO"/>
        </w:rPr>
        <w:t>para la determinación de los procedimientos de selección de contratación pública</w:t>
      </w:r>
    </w:p>
    <w:p w14:paraId="72AE6BBA" w14:textId="77777777" w:rsidR="003C503A" w:rsidRDefault="003C503A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p w14:paraId="3B20518E" w14:textId="73C5773A" w:rsidR="00F0028A" w:rsidRDefault="00EE23C8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>
        <w:rPr>
          <w:rFonts w:ascii="Book Antiqua" w:hAnsi="Book Antiqua"/>
          <w:sz w:val="24"/>
          <w:szCs w:val="24"/>
          <w:lang w:val="es-DO"/>
        </w:rPr>
        <w:t xml:space="preserve">Los umbrales topes son </w:t>
      </w:r>
      <w:r w:rsidR="00FC2175">
        <w:rPr>
          <w:rFonts w:ascii="Book Antiqua" w:hAnsi="Book Antiqua"/>
          <w:sz w:val="24"/>
          <w:szCs w:val="24"/>
          <w:lang w:val="es-DO"/>
        </w:rPr>
        <w:t xml:space="preserve">calculados </w:t>
      </w:r>
      <w:r>
        <w:rPr>
          <w:rFonts w:ascii="Book Antiqua" w:hAnsi="Book Antiqua"/>
          <w:sz w:val="24"/>
          <w:szCs w:val="24"/>
          <w:lang w:val="es-DO"/>
        </w:rPr>
        <w:t xml:space="preserve">cada año por la Dirección General de Contrataciones Públicas </w:t>
      </w:r>
      <w:r w:rsidR="002E0DDE">
        <w:rPr>
          <w:rFonts w:ascii="Book Antiqua" w:hAnsi="Book Antiqua"/>
          <w:sz w:val="24"/>
          <w:szCs w:val="24"/>
          <w:lang w:val="es-DO"/>
        </w:rPr>
        <w:t>tomando en cuenta</w:t>
      </w:r>
      <w:r w:rsidR="00825DCC">
        <w:rPr>
          <w:rFonts w:ascii="Book Antiqua" w:hAnsi="Book Antiqua"/>
          <w:sz w:val="24"/>
          <w:szCs w:val="24"/>
          <w:lang w:val="es-DO"/>
        </w:rPr>
        <w:t xml:space="preserve"> lo</w:t>
      </w:r>
      <w:r w:rsidR="002E0DDE">
        <w:rPr>
          <w:rFonts w:ascii="Book Antiqua" w:hAnsi="Book Antiqua"/>
          <w:sz w:val="24"/>
          <w:szCs w:val="24"/>
          <w:lang w:val="es-DO"/>
        </w:rPr>
        <w:t xml:space="preserve"> </w:t>
      </w:r>
      <w:r>
        <w:rPr>
          <w:rFonts w:ascii="Book Antiqua" w:hAnsi="Book Antiqua"/>
          <w:sz w:val="24"/>
          <w:szCs w:val="24"/>
          <w:lang w:val="es-DO"/>
        </w:rPr>
        <w:t>establecido en el artículo 17 de la Ley Núm. 340-06 y sus modificaciones</w:t>
      </w:r>
      <w:r w:rsidR="00FC2175">
        <w:rPr>
          <w:rFonts w:ascii="Book Antiqua" w:hAnsi="Book Antiqua"/>
          <w:sz w:val="24"/>
          <w:szCs w:val="24"/>
          <w:lang w:val="es-DO"/>
        </w:rPr>
        <w:t>, el cual indica que p</w:t>
      </w:r>
      <w:r w:rsidR="00FC2175" w:rsidRPr="00FC2175">
        <w:rPr>
          <w:rFonts w:ascii="Book Antiqua" w:hAnsi="Book Antiqua"/>
          <w:sz w:val="24"/>
          <w:szCs w:val="24"/>
          <w:lang w:val="es-DO"/>
        </w:rPr>
        <w:t>ara determinar la modalidad de selección a aplicar en un</w:t>
      </w:r>
      <w:r w:rsidR="00FC2175">
        <w:rPr>
          <w:rFonts w:ascii="Book Antiqua" w:hAnsi="Book Antiqua"/>
          <w:sz w:val="24"/>
          <w:szCs w:val="24"/>
          <w:lang w:val="es-DO"/>
        </w:rPr>
        <w:t xml:space="preserve"> </w:t>
      </w:r>
      <w:r w:rsidR="00FC2175" w:rsidRPr="00FC2175">
        <w:rPr>
          <w:rFonts w:ascii="Book Antiqua" w:hAnsi="Book Antiqua"/>
          <w:sz w:val="24"/>
          <w:szCs w:val="24"/>
          <w:lang w:val="es-DO"/>
        </w:rPr>
        <w:t>proceso de compra o contratación se utilizarán los umbrales topes,</w:t>
      </w:r>
      <w:r w:rsidR="00FC2175">
        <w:rPr>
          <w:rFonts w:ascii="Book Antiqua" w:hAnsi="Book Antiqua"/>
          <w:sz w:val="24"/>
          <w:szCs w:val="24"/>
          <w:lang w:val="es-DO"/>
        </w:rPr>
        <w:t xml:space="preserve"> </w:t>
      </w:r>
      <w:r w:rsidR="00FC2175" w:rsidRPr="00FC2175">
        <w:rPr>
          <w:rFonts w:ascii="Book Antiqua" w:hAnsi="Book Antiqua"/>
          <w:sz w:val="24"/>
          <w:szCs w:val="24"/>
          <w:lang w:val="es-DO"/>
        </w:rPr>
        <w:t xml:space="preserve">que se calculan multiplicando el </w:t>
      </w:r>
      <w:r w:rsidR="00FC2175" w:rsidRPr="002E0DDE">
        <w:rPr>
          <w:rFonts w:ascii="Book Antiqua" w:hAnsi="Book Antiqua"/>
          <w:b/>
          <w:bCs/>
          <w:sz w:val="24"/>
          <w:szCs w:val="24"/>
          <w:lang w:val="es-DO"/>
        </w:rPr>
        <w:t>Presupuesto de Ingresos Corrientes del Gobierno Central</w:t>
      </w:r>
      <w:r w:rsidR="00FC2175" w:rsidRPr="00FC2175">
        <w:rPr>
          <w:rFonts w:ascii="Book Antiqua" w:hAnsi="Book Antiqua"/>
          <w:sz w:val="24"/>
          <w:szCs w:val="24"/>
          <w:lang w:val="es-DO"/>
        </w:rPr>
        <w:t>, aprobado por el Congreso de la República, por</w:t>
      </w:r>
      <w:r w:rsidR="00FC2175">
        <w:rPr>
          <w:rFonts w:ascii="Book Antiqua" w:hAnsi="Book Antiqua"/>
          <w:sz w:val="24"/>
          <w:szCs w:val="24"/>
          <w:lang w:val="es-DO"/>
        </w:rPr>
        <w:t xml:space="preserve"> </w:t>
      </w:r>
      <w:r w:rsidR="00FC2175" w:rsidRPr="00FC2175">
        <w:rPr>
          <w:rFonts w:ascii="Book Antiqua" w:hAnsi="Book Antiqua"/>
          <w:sz w:val="24"/>
          <w:szCs w:val="24"/>
          <w:lang w:val="es-DO"/>
        </w:rPr>
        <w:t>los factores incluidos en la tabla</w:t>
      </w:r>
      <w:r w:rsidR="00FC2175">
        <w:rPr>
          <w:rFonts w:ascii="Book Antiqua" w:hAnsi="Book Antiqua"/>
          <w:sz w:val="24"/>
          <w:szCs w:val="24"/>
          <w:lang w:val="es-DO"/>
        </w:rPr>
        <w:t xml:space="preserve"> que contempla dicho artículo</w:t>
      </w:r>
      <w:r w:rsidR="00FC2175" w:rsidRPr="00FC2175">
        <w:rPr>
          <w:rFonts w:ascii="Book Antiqua" w:hAnsi="Book Antiqua"/>
          <w:sz w:val="24"/>
          <w:szCs w:val="24"/>
          <w:lang w:val="es-DO"/>
        </w:rPr>
        <w:t>, según corresponda a obras,</w:t>
      </w:r>
      <w:r w:rsidR="00FC2175">
        <w:rPr>
          <w:rFonts w:ascii="Book Antiqua" w:hAnsi="Book Antiqua"/>
          <w:sz w:val="24"/>
          <w:szCs w:val="24"/>
          <w:lang w:val="es-DO"/>
        </w:rPr>
        <w:t xml:space="preserve"> </w:t>
      </w:r>
      <w:r w:rsidR="00FC2175" w:rsidRPr="00FC2175">
        <w:rPr>
          <w:rFonts w:ascii="Book Antiqua" w:hAnsi="Book Antiqua"/>
          <w:sz w:val="24"/>
          <w:szCs w:val="24"/>
          <w:lang w:val="es-DO"/>
        </w:rPr>
        <w:t>bienes o servicios</w:t>
      </w:r>
      <w:r w:rsidR="00F0028A">
        <w:rPr>
          <w:rFonts w:ascii="Book Antiqua" w:hAnsi="Book Antiqua"/>
          <w:sz w:val="24"/>
          <w:szCs w:val="24"/>
          <w:lang w:val="es-DO"/>
        </w:rPr>
        <w:t>, a saber:</w:t>
      </w:r>
    </w:p>
    <w:p w14:paraId="405BE8D6" w14:textId="77777777" w:rsidR="00F0028A" w:rsidRDefault="00F0028A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1172"/>
        <w:gridCol w:w="1134"/>
        <w:gridCol w:w="1417"/>
      </w:tblGrid>
      <w:tr w:rsidR="00F0028A" w:rsidRPr="002E59E0" w14:paraId="4824793B" w14:textId="77777777" w:rsidTr="00CD1474">
        <w:trPr>
          <w:trHeight w:val="294"/>
          <w:jc w:val="center"/>
        </w:trPr>
        <w:tc>
          <w:tcPr>
            <w:tcW w:w="1942" w:type="dxa"/>
            <w:shd w:val="clear" w:color="auto" w:fill="A5A5A5" w:themeFill="accent3"/>
            <w:noWrap/>
            <w:hideMark/>
          </w:tcPr>
          <w:p w14:paraId="5D345263" w14:textId="507581DC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es-DO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172" w:type="dxa"/>
            <w:shd w:val="clear" w:color="auto" w:fill="AEAAAA" w:themeFill="background2" w:themeFillShade="BF"/>
            <w:noWrap/>
            <w:hideMark/>
          </w:tcPr>
          <w:p w14:paraId="3B498A4A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E59E0">
              <w:rPr>
                <w:rFonts w:ascii="Book Antiqua" w:hAnsi="Book Antiqua"/>
                <w:b/>
                <w:bCs/>
                <w:sz w:val="20"/>
                <w:szCs w:val="20"/>
              </w:rPr>
              <w:t>OBRAS</w:t>
            </w:r>
          </w:p>
        </w:tc>
        <w:tc>
          <w:tcPr>
            <w:tcW w:w="1134" w:type="dxa"/>
            <w:shd w:val="clear" w:color="auto" w:fill="AEAAAA" w:themeFill="background2" w:themeFillShade="BF"/>
            <w:noWrap/>
            <w:hideMark/>
          </w:tcPr>
          <w:p w14:paraId="0F4B090F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E59E0">
              <w:rPr>
                <w:rFonts w:ascii="Book Antiqua" w:hAnsi="Book Antiqua"/>
                <w:b/>
                <w:bCs/>
                <w:sz w:val="20"/>
                <w:szCs w:val="20"/>
              </w:rPr>
              <w:t>BIENES</w:t>
            </w:r>
          </w:p>
        </w:tc>
        <w:tc>
          <w:tcPr>
            <w:tcW w:w="1417" w:type="dxa"/>
            <w:shd w:val="clear" w:color="auto" w:fill="AEAAAA" w:themeFill="background2" w:themeFillShade="BF"/>
            <w:noWrap/>
            <w:hideMark/>
          </w:tcPr>
          <w:p w14:paraId="4CA74590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E59E0">
              <w:rPr>
                <w:rFonts w:ascii="Book Antiqua" w:hAnsi="Book Antiqua"/>
                <w:b/>
                <w:bCs/>
                <w:sz w:val="20"/>
                <w:szCs w:val="20"/>
              </w:rPr>
              <w:t>SERVICIOS</w:t>
            </w:r>
          </w:p>
        </w:tc>
      </w:tr>
      <w:tr w:rsidR="00F0028A" w:rsidRPr="002E59E0" w14:paraId="7079AA80" w14:textId="77777777" w:rsidTr="00CD1474">
        <w:trPr>
          <w:trHeight w:val="294"/>
          <w:jc w:val="center"/>
        </w:trPr>
        <w:tc>
          <w:tcPr>
            <w:tcW w:w="1942" w:type="dxa"/>
            <w:shd w:val="clear" w:color="auto" w:fill="A5A5A5" w:themeFill="accent3"/>
            <w:noWrap/>
            <w:hideMark/>
          </w:tcPr>
          <w:p w14:paraId="3A4BB70F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E59E0">
              <w:rPr>
                <w:rFonts w:ascii="Book Antiqua" w:hAnsi="Book Antiqua"/>
                <w:b/>
                <w:bCs/>
                <w:sz w:val="20"/>
                <w:szCs w:val="20"/>
              </w:rPr>
              <w:t>Licitación Pública</w:t>
            </w:r>
          </w:p>
        </w:tc>
        <w:tc>
          <w:tcPr>
            <w:tcW w:w="1172" w:type="dxa"/>
            <w:noWrap/>
            <w:hideMark/>
          </w:tcPr>
          <w:p w14:paraId="05BA8023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0.00060</w:t>
            </w:r>
          </w:p>
        </w:tc>
        <w:tc>
          <w:tcPr>
            <w:tcW w:w="1134" w:type="dxa"/>
            <w:noWrap/>
            <w:hideMark/>
          </w:tcPr>
          <w:p w14:paraId="5ED26F57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0.000020</w:t>
            </w:r>
          </w:p>
        </w:tc>
        <w:tc>
          <w:tcPr>
            <w:tcW w:w="1417" w:type="dxa"/>
            <w:noWrap/>
            <w:hideMark/>
          </w:tcPr>
          <w:p w14:paraId="4A065863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0.000020</w:t>
            </w:r>
          </w:p>
        </w:tc>
      </w:tr>
      <w:tr w:rsidR="00F0028A" w:rsidRPr="002E59E0" w14:paraId="66359FC1" w14:textId="77777777" w:rsidTr="00CD1474">
        <w:trPr>
          <w:trHeight w:val="282"/>
          <w:jc w:val="center"/>
        </w:trPr>
        <w:tc>
          <w:tcPr>
            <w:tcW w:w="1942" w:type="dxa"/>
            <w:shd w:val="clear" w:color="auto" w:fill="A5A5A5" w:themeFill="accent3"/>
            <w:noWrap/>
            <w:hideMark/>
          </w:tcPr>
          <w:p w14:paraId="068ED6DB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E59E0">
              <w:rPr>
                <w:rFonts w:ascii="Book Antiqua" w:hAnsi="Book Antiqua"/>
                <w:b/>
                <w:bCs/>
                <w:sz w:val="20"/>
                <w:szCs w:val="20"/>
              </w:rPr>
              <w:t>Licitación Restringida</w:t>
            </w:r>
          </w:p>
        </w:tc>
        <w:tc>
          <w:tcPr>
            <w:tcW w:w="1172" w:type="dxa"/>
            <w:noWrap/>
            <w:hideMark/>
          </w:tcPr>
          <w:p w14:paraId="30D547D5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0.00025</w:t>
            </w:r>
          </w:p>
        </w:tc>
        <w:tc>
          <w:tcPr>
            <w:tcW w:w="1134" w:type="dxa"/>
            <w:noWrap/>
            <w:hideMark/>
          </w:tcPr>
          <w:p w14:paraId="013179AB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0.000008</w:t>
            </w:r>
          </w:p>
        </w:tc>
        <w:tc>
          <w:tcPr>
            <w:tcW w:w="1417" w:type="dxa"/>
            <w:noWrap/>
            <w:hideMark/>
          </w:tcPr>
          <w:p w14:paraId="62154CF1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0.000008</w:t>
            </w:r>
          </w:p>
        </w:tc>
      </w:tr>
      <w:tr w:rsidR="00F0028A" w:rsidRPr="002E59E0" w14:paraId="0734AF9B" w14:textId="77777777" w:rsidTr="00CD1474">
        <w:trPr>
          <w:trHeight w:val="282"/>
          <w:jc w:val="center"/>
        </w:trPr>
        <w:tc>
          <w:tcPr>
            <w:tcW w:w="1942" w:type="dxa"/>
            <w:shd w:val="clear" w:color="auto" w:fill="A5A5A5" w:themeFill="accent3"/>
            <w:noWrap/>
            <w:hideMark/>
          </w:tcPr>
          <w:p w14:paraId="323E8B20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E59E0">
              <w:rPr>
                <w:rFonts w:ascii="Book Antiqua" w:hAnsi="Book Antiqua"/>
                <w:b/>
                <w:bCs/>
                <w:sz w:val="20"/>
                <w:szCs w:val="20"/>
              </w:rPr>
              <w:t>Sorteo de Obras</w:t>
            </w:r>
          </w:p>
        </w:tc>
        <w:tc>
          <w:tcPr>
            <w:tcW w:w="1172" w:type="dxa"/>
            <w:noWrap/>
            <w:hideMark/>
          </w:tcPr>
          <w:p w14:paraId="246C2690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0.00015</w:t>
            </w:r>
          </w:p>
        </w:tc>
        <w:tc>
          <w:tcPr>
            <w:tcW w:w="1134" w:type="dxa"/>
            <w:noWrap/>
            <w:hideMark/>
          </w:tcPr>
          <w:p w14:paraId="64103748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  <w:tc>
          <w:tcPr>
            <w:tcW w:w="1417" w:type="dxa"/>
            <w:noWrap/>
            <w:hideMark/>
          </w:tcPr>
          <w:p w14:paraId="5D259E3F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</w:tr>
      <w:tr w:rsidR="00F0028A" w:rsidRPr="002E59E0" w14:paraId="555D1D79" w14:textId="77777777" w:rsidTr="00CD1474">
        <w:trPr>
          <w:trHeight w:val="282"/>
          <w:jc w:val="center"/>
        </w:trPr>
        <w:tc>
          <w:tcPr>
            <w:tcW w:w="1942" w:type="dxa"/>
            <w:shd w:val="clear" w:color="auto" w:fill="A5A5A5" w:themeFill="accent3"/>
            <w:noWrap/>
            <w:hideMark/>
          </w:tcPr>
          <w:p w14:paraId="0B418330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E59E0">
              <w:rPr>
                <w:rFonts w:ascii="Book Antiqua" w:hAnsi="Book Antiqua"/>
                <w:b/>
                <w:bCs/>
                <w:sz w:val="20"/>
                <w:szCs w:val="20"/>
              </w:rPr>
              <w:t>Comparación de Precios</w:t>
            </w:r>
          </w:p>
        </w:tc>
        <w:tc>
          <w:tcPr>
            <w:tcW w:w="1172" w:type="dxa"/>
            <w:noWrap/>
            <w:hideMark/>
          </w:tcPr>
          <w:p w14:paraId="6B526C8D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0.00004</w:t>
            </w:r>
          </w:p>
        </w:tc>
        <w:tc>
          <w:tcPr>
            <w:tcW w:w="1134" w:type="dxa"/>
            <w:noWrap/>
            <w:hideMark/>
          </w:tcPr>
          <w:p w14:paraId="541B4C31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0.0000015</w:t>
            </w:r>
          </w:p>
        </w:tc>
        <w:tc>
          <w:tcPr>
            <w:tcW w:w="1417" w:type="dxa"/>
            <w:noWrap/>
            <w:hideMark/>
          </w:tcPr>
          <w:p w14:paraId="3646CE17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0.0000015</w:t>
            </w:r>
          </w:p>
        </w:tc>
      </w:tr>
      <w:tr w:rsidR="00F0028A" w:rsidRPr="002E59E0" w14:paraId="451291EA" w14:textId="77777777" w:rsidTr="00CD1474">
        <w:trPr>
          <w:trHeight w:val="129"/>
          <w:jc w:val="center"/>
        </w:trPr>
        <w:tc>
          <w:tcPr>
            <w:tcW w:w="1942" w:type="dxa"/>
            <w:shd w:val="clear" w:color="auto" w:fill="A5A5A5" w:themeFill="accent3"/>
            <w:noWrap/>
            <w:hideMark/>
          </w:tcPr>
          <w:p w14:paraId="704091FB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2E59E0">
              <w:rPr>
                <w:rFonts w:ascii="Book Antiqua" w:hAnsi="Book Antiqua"/>
                <w:b/>
                <w:bCs/>
                <w:sz w:val="20"/>
                <w:szCs w:val="20"/>
              </w:rPr>
              <w:t>Compras Menores</w:t>
            </w:r>
          </w:p>
        </w:tc>
        <w:tc>
          <w:tcPr>
            <w:tcW w:w="1172" w:type="dxa"/>
            <w:noWrap/>
            <w:hideMark/>
          </w:tcPr>
          <w:p w14:paraId="782D4104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n/a</w:t>
            </w:r>
          </w:p>
        </w:tc>
        <w:tc>
          <w:tcPr>
            <w:tcW w:w="1134" w:type="dxa"/>
            <w:noWrap/>
            <w:hideMark/>
          </w:tcPr>
          <w:p w14:paraId="7B2439F3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0.0000002</w:t>
            </w:r>
          </w:p>
        </w:tc>
        <w:tc>
          <w:tcPr>
            <w:tcW w:w="1417" w:type="dxa"/>
            <w:noWrap/>
            <w:hideMark/>
          </w:tcPr>
          <w:p w14:paraId="37D01717" w14:textId="77777777" w:rsidR="00F0028A" w:rsidRPr="002E59E0" w:rsidRDefault="00F0028A" w:rsidP="00F0028A">
            <w:p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</w:rPr>
            </w:pPr>
            <w:r w:rsidRPr="002E59E0">
              <w:rPr>
                <w:rFonts w:ascii="Book Antiqua" w:hAnsi="Book Antiqua"/>
                <w:sz w:val="20"/>
                <w:szCs w:val="20"/>
              </w:rPr>
              <w:t>0.0000002</w:t>
            </w:r>
          </w:p>
        </w:tc>
      </w:tr>
    </w:tbl>
    <w:p w14:paraId="658E0AED" w14:textId="3F3CF803" w:rsidR="00FC2175" w:rsidRDefault="00FC2175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>
        <w:rPr>
          <w:rFonts w:ascii="Book Antiqua" w:hAnsi="Book Antiqua"/>
          <w:sz w:val="24"/>
          <w:szCs w:val="24"/>
          <w:lang w:val="es-DO"/>
        </w:rPr>
        <w:t xml:space="preserve"> </w:t>
      </w:r>
    </w:p>
    <w:p w14:paraId="75616130" w14:textId="3A1CDC56" w:rsidR="003708A1" w:rsidRDefault="00F0028A" w:rsidP="00713EDC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>
        <w:rPr>
          <w:rFonts w:ascii="Book Antiqua" w:hAnsi="Book Antiqua"/>
          <w:sz w:val="24"/>
          <w:szCs w:val="24"/>
          <w:lang w:val="es-DO"/>
        </w:rPr>
        <w:t>Una vez agotado este p</w:t>
      </w:r>
      <w:r w:rsidR="002E0DDE">
        <w:rPr>
          <w:rFonts w:ascii="Book Antiqua" w:hAnsi="Book Antiqua"/>
          <w:sz w:val="24"/>
          <w:szCs w:val="24"/>
          <w:lang w:val="es-DO"/>
        </w:rPr>
        <w:t>aso</w:t>
      </w:r>
      <w:r w:rsidR="00C97630">
        <w:rPr>
          <w:rFonts w:ascii="Book Antiqua" w:hAnsi="Book Antiqua"/>
          <w:sz w:val="24"/>
          <w:szCs w:val="24"/>
          <w:lang w:val="es-DO"/>
        </w:rPr>
        <w:t xml:space="preserve"> y</w:t>
      </w:r>
      <w:r>
        <w:rPr>
          <w:rFonts w:ascii="Book Antiqua" w:hAnsi="Book Antiqua"/>
          <w:sz w:val="24"/>
          <w:szCs w:val="24"/>
          <w:lang w:val="es-DO"/>
        </w:rPr>
        <w:t xml:space="preserve"> </w:t>
      </w:r>
      <w:r w:rsidR="00C97630">
        <w:rPr>
          <w:rFonts w:ascii="Book Antiqua" w:hAnsi="Book Antiqua"/>
          <w:sz w:val="24"/>
          <w:szCs w:val="24"/>
          <w:lang w:val="es-DO"/>
        </w:rPr>
        <w:t xml:space="preserve">en razón de lo establecido en el párrafo IV del referido artículo, el cual indica que </w:t>
      </w:r>
      <w:r w:rsidR="00C97630" w:rsidRPr="00C97630">
        <w:rPr>
          <w:rFonts w:ascii="Book Antiqua" w:hAnsi="Book Antiqua"/>
          <w:i/>
          <w:iCs/>
          <w:sz w:val="24"/>
          <w:szCs w:val="24"/>
          <w:lang w:val="es-DO"/>
        </w:rPr>
        <w:t>“el Órgano Rector podrá fijar umbrales inferiores siempre y cuando así lo establezcan acuerdos internacionales suscritos, ratificados por el Congreso de la República”</w:t>
      </w:r>
      <w:r w:rsidR="00C97630">
        <w:rPr>
          <w:rFonts w:ascii="Book Antiqua" w:hAnsi="Book Antiqua"/>
          <w:sz w:val="24"/>
          <w:szCs w:val="24"/>
          <w:lang w:val="es-DO"/>
        </w:rPr>
        <w:t xml:space="preserve">, </w:t>
      </w:r>
      <w:r w:rsidR="00ED790A">
        <w:rPr>
          <w:rFonts w:ascii="Book Antiqua" w:hAnsi="Book Antiqua"/>
          <w:sz w:val="24"/>
          <w:szCs w:val="24"/>
          <w:lang w:val="es-DO"/>
        </w:rPr>
        <w:t xml:space="preserve">la Dirección </w:t>
      </w:r>
      <w:r w:rsidR="00C97630">
        <w:rPr>
          <w:rFonts w:ascii="Book Antiqua" w:hAnsi="Book Antiqua"/>
          <w:sz w:val="24"/>
          <w:szCs w:val="24"/>
          <w:lang w:val="es-DO"/>
        </w:rPr>
        <w:t>verifica</w:t>
      </w:r>
      <w:r w:rsidR="00ED790A">
        <w:rPr>
          <w:rFonts w:ascii="Book Antiqua" w:hAnsi="Book Antiqua"/>
          <w:sz w:val="24"/>
          <w:szCs w:val="24"/>
          <w:lang w:val="es-DO"/>
        </w:rPr>
        <w:t xml:space="preserve"> que el cálculo arrojado</w:t>
      </w:r>
      <w:r w:rsidR="0036073A">
        <w:rPr>
          <w:rFonts w:ascii="Book Antiqua" w:hAnsi="Book Antiqua"/>
          <w:sz w:val="24"/>
          <w:szCs w:val="24"/>
          <w:lang w:val="es-DO"/>
        </w:rPr>
        <w:t xml:space="preserve"> por la tabla</w:t>
      </w:r>
      <w:r w:rsidR="00ED790A">
        <w:rPr>
          <w:rFonts w:ascii="Book Antiqua" w:hAnsi="Book Antiqua"/>
          <w:sz w:val="24"/>
          <w:szCs w:val="24"/>
          <w:lang w:val="es-DO"/>
        </w:rPr>
        <w:t xml:space="preserve">, </w:t>
      </w:r>
      <w:r w:rsidR="00ED790A" w:rsidRPr="00E666B9">
        <w:rPr>
          <w:rFonts w:ascii="Book Antiqua" w:hAnsi="Book Antiqua"/>
          <w:b/>
          <w:bCs/>
          <w:sz w:val="24"/>
          <w:szCs w:val="24"/>
          <w:lang w:val="es-DO"/>
        </w:rPr>
        <w:t>no supere el umbral</w:t>
      </w:r>
      <w:r w:rsidR="001F070D">
        <w:rPr>
          <w:rFonts w:ascii="Book Antiqua" w:hAnsi="Book Antiqua"/>
          <w:sz w:val="24"/>
          <w:szCs w:val="24"/>
          <w:lang w:val="es-DO"/>
        </w:rPr>
        <w:t xml:space="preserve"> del DR-</w:t>
      </w:r>
      <w:r w:rsidR="00C97630" w:rsidRPr="00C97630">
        <w:rPr>
          <w:rFonts w:ascii="Book Antiqua" w:hAnsi="Book Antiqua"/>
          <w:sz w:val="24"/>
          <w:szCs w:val="24"/>
          <w:lang w:val="es-DO"/>
        </w:rPr>
        <w:t xml:space="preserve"> </w:t>
      </w:r>
      <w:r w:rsidR="001F070D">
        <w:rPr>
          <w:rFonts w:ascii="Book Antiqua" w:hAnsi="Book Antiqua"/>
          <w:sz w:val="24"/>
          <w:szCs w:val="24"/>
          <w:lang w:val="es-DO"/>
        </w:rPr>
        <w:t>CAFTA</w:t>
      </w:r>
      <w:r w:rsidR="001F070D">
        <w:rPr>
          <w:rStyle w:val="Refdenotaalpie"/>
          <w:rFonts w:ascii="Book Antiqua" w:hAnsi="Book Antiqua"/>
          <w:sz w:val="24"/>
          <w:szCs w:val="24"/>
          <w:lang w:val="es-DO"/>
        </w:rPr>
        <w:footnoteReference w:id="1"/>
      </w:r>
      <w:r w:rsidR="00C97630">
        <w:rPr>
          <w:rFonts w:ascii="Book Antiqua" w:hAnsi="Book Antiqua"/>
          <w:sz w:val="24"/>
          <w:szCs w:val="24"/>
          <w:lang w:val="es-DO"/>
        </w:rPr>
        <w:t xml:space="preserve">, el cual </w:t>
      </w:r>
      <w:r w:rsidR="00713EDC">
        <w:rPr>
          <w:rFonts w:ascii="Book Antiqua" w:hAnsi="Book Antiqua"/>
          <w:sz w:val="24"/>
          <w:szCs w:val="24"/>
          <w:lang w:val="es-DO"/>
        </w:rPr>
        <w:t xml:space="preserve">es ajustado y notificado cada dos años </w:t>
      </w:r>
      <w:r w:rsidR="00252436">
        <w:rPr>
          <w:rFonts w:ascii="Book Antiqua" w:hAnsi="Book Antiqua"/>
          <w:sz w:val="24"/>
          <w:szCs w:val="24"/>
          <w:lang w:val="es-DO"/>
        </w:rPr>
        <w:t xml:space="preserve">por </w:t>
      </w:r>
      <w:r w:rsidR="00252436" w:rsidRPr="00713EDC">
        <w:rPr>
          <w:rFonts w:ascii="Book Antiqua" w:hAnsi="Book Antiqua"/>
          <w:sz w:val="24"/>
          <w:szCs w:val="24"/>
          <w:lang w:val="es-DO"/>
        </w:rPr>
        <w:t>la Oficina del Representante Comercial de los Estados Unidos (USTRD)</w:t>
      </w:r>
      <w:r w:rsidR="00252436">
        <w:rPr>
          <w:rFonts w:ascii="Book Antiqua" w:hAnsi="Book Antiqua"/>
          <w:sz w:val="24"/>
          <w:szCs w:val="24"/>
          <w:lang w:val="es-DO"/>
        </w:rPr>
        <w:t xml:space="preserve">, </w:t>
      </w:r>
      <w:r w:rsidR="00713EDC">
        <w:rPr>
          <w:rFonts w:ascii="Book Antiqua" w:hAnsi="Book Antiqua"/>
          <w:sz w:val="24"/>
          <w:szCs w:val="24"/>
          <w:lang w:val="es-DO"/>
        </w:rPr>
        <w:t>vía</w:t>
      </w:r>
      <w:r w:rsidR="00713EDC" w:rsidRPr="00713EDC">
        <w:rPr>
          <w:rFonts w:ascii="Book Antiqua" w:hAnsi="Book Antiqua"/>
          <w:sz w:val="24"/>
          <w:szCs w:val="24"/>
          <w:lang w:val="es-DO"/>
        </w:rPr>
        <w:t xml:space="preserve"> la Dirección de Comercio Exterior y Administración de Tratados Comerciales (DICOEX), </w:t>
      </w:r>
      <w:r w:rsidR="00252436">
        <w:rPr>
          <w:rFonts w:ascii="Book Antiqua" w:hAnsi="Book Antiqua"/>
          <w:sz w:val="24"/>
          <w:szCs w:val="24"/>
          <w:lang w:val="es-DO"/>
        </w:rPr>
        <w:t xml:space="preserve">quien remitió a este Órgano Rector </w:t>
      </w:r>
      <w:r w:rsidR="00713EDC" w:rsidRPr="00713EDC">
        <w:rPr>
          <w:rFonts w:ascii="Book Antiqua" w:hAnsi="Book Antiqua"/>
          <w:sz w:val="24"/>
          <w:szCs w:val="24"/>
          <w:lang w:val="es-DO"/>
        </w:rPr>
        <w:t xml:space="preserve">en fecha 7 de </w:t>
      </w:r>
      <w:r w:rsidR="005F1227">
        <w:rPr>
          <w:rFonts w:ascii="Book Antiqua" w:hAnsi="Book Antiqua"/>
          <w:sz w:val="24"/>
          <w:szCs w:val="24"/>
          <w:lang w:val="es-DO"/>
        </w:rPr>
        <w:t>diciembre de 2021</w:t>
      </w:r>
      <w:r w:rsidR="00713EDC" w:rsidRPr="00713EDC">
        <w:rPr>
          <w:rFonts w:ascii="Book Antiqua" w:hAnsi="Book Antiqua"/>
          <w:sz w:val="24"/>
          <w:szCs w:val="24"/>
          <w:lang w:val="es-DO"/>
        </w:rPr>
        <w:t xml:space="preserve">, la publicación del Federal </w:t>
      </w:r>
      <w:proofErr w:type="spellStart"/>
      <w:r w:rsidR="00713EDC" w:rsidRPr="00713EDC">
        <w:rPr>
          <w:rFonts w:ascii="Book Antiqua" w:hAnsi="Book Antiqua"/>
          <w:sz w:val="24"/>
          <w:szCs w:val="24"/>
          <w:lang w:val="es-DO"/>
        </w:rPr>
        <w:t>Register</w:t>
      </w:r>
      <w:proofErr w:type="spellEnd"/>
      <w:r w:rsidR="00713EDC" w:rsidRPr="00713EDC">
        <w:rPr>
          <w:rFonts w:ascii="Book Antiqua" w:hAnsi="Book Antiqua"/>
          <w:sz w:val="24"/>
          <w:szCs w:val="24"/>
          <w:lang w:val="es-DO"/>
        </w:rPr>
        <w:t xml:space="preserve"> de los Estados Unidos (USTR) de fecha </w:t>
      </w:r>
      <w:r w:rsidR="005F1227">
        <w:rPr>
          <w:rFonts w:ascii="Book Antiqua" w:hAnsi="Book Antiqua"/>
          <w:sz w:val="24"/>
          <w:szCs w:val="24"/>
          <w:lang w:val="es-DO"/>
        </w:rPr>
        <w:t>24</w:t>
      </w:r>
      <w:r w:rsidR="00713EDC" w:rsidRPr="00713EDC">
        <w:rPr>
          <w:rFonts w:ascii="Book Antiqua" w:hAnsi="Book Antiqua"/>
          <w:sz w:val="24"/>
          <w:szCs w:val="24"/>
          <w:lang w:val="es-DO"/>
        </w:rPr>
        <w:t xml:space="preserve"> de </w:t>
      </w:r>
      <w:r w:rsidR="005F1227">
        <w:rPr>
          <w:rFonts w:ascii="Book Antiqua" w:hAnsi="Book Antiqua"/>
          <w:sz w:val="24"/>
          <w:szCs w:val="24"/>
          <w:lang w:val="es-DO"/>
        </w:rPr>
        <w:t>noviembre</w:t>
      </w:r>
      <w:r w:rsidR="00713EDC" w:rsidRPr="00713EDC">
        <w:rPr>
          <w:rFonts w:ascii="Book Antiqua" w:hAnsi="Book Antiqua"/>
          <w:sz w:val="24"/>
          <w:szCs w:val="24"/>
          <w:lang w:val="es-DO"/>
        </w:rPr>
        <w:t xml:space="preserve"> de 20</w:t>
      </w:r>
      <w:r w:rsidR="005F1227">
        <w:rPr>
          <w:rFonts w:ascii="Book Antiqua" w:hAnsi="Book Antiqua"/>
          <w:sz w:val="24"/>
          <w:szCs w:val="24"/>
          <w:lang w:val="es-DO"/>
        </w:rPr>
        <w:t>21</w:t>
      </w:r>
      <w:r w:rsidR="00713EDC" w:rsidRPr="00713EDC">
        <w:rPr>
          <w:rFonts w:ascii="Book Antiqua" w:hAnsi="Book Antiqua"/>
          <w:sz w:val="24"/>
          <w:szCs w:val="24"/>
          <w:lang w:val="es-DO"/>
        </w:rPr>
        <w:t xml:space="preserve">, en la cual notifica formalmente </w:t>
      </w:r>
      <w:r w:rsidR="00252436">
        <w:rPr>
          <w:rFonts w:ascii="Book Antiqua" w:hAnsi="Book Antiqua"/>
          <w:sz w:val="24"/>
          <w:szCs w:val="24"/>
          <w:lang w:val="es-DO"/>
        </w:rPr>
        <w:t xml:space="preserve">que </w:t>
      </w:r>
      <w:r w:rsidR="00713EDC" w:rsidRPr="002E0DDE">
        <w:rPr>
          <w:rFonts w:ascii="Book Antiqua" w:hAnsi="Book Antiqua"/>
          <w:b/>
          <w:bCs/>
          <w:sz w:val="24"/>
          <w:szCs w:val="24"/>
          <w:lang w:val="es-DO"/>
        </w:rPr>
        <w:t xml:space="preserve">los valores ajustados de los umbrales de </w:t>
      </w:r>
      <w:r w:rsidR="0036073A" w:rsidRPr="002E0DDE">
        <w:rPr>
          <w:rFonts w:ascii="Book Antiqua" w:hAnsi="Book Antiqua"/>
          <w:b/>
          <w:bCs/>
          <w:sz w:val="24"/>
          <w:szCs w:val="24"/>
          <w:lang w:val="es-DO"/>
        </w:rPr>
        <w:t>contratación pública</w:t>
      </w:r>
      <w:r w:rsidR="00713EDC" w:rsidRPr="002E0DDE">
        <w:rPr>
          <w:rFonts w:ascii="Book Antiqua" w:hAnsi="Book Antiqua"/>
          <w:b/>
          <w:bCs/>
          <w:sz w:val="24"/>
          <w:szCs w:val="24"/>
          <w:lang w:val="es-DO"/>
        </w:rPr>
        <w:t>,</w:t>
      </w:r>
      <w:r w:rsidR="00252436" w:rsidRPr="002E0DDE">
        <w:rPr>
          <w:rFonts w:ascii="Book Antiqua" w:hAnsi="Book Antiqua"/>
          <w:b/>
          <w:bCs/>
          <w:sz w:val="24"/>
          <w:szCs w:val="24"/>
          <w:lang w:val="es-DO"/>
        </w:rPr>
        <w:t xml:space="preserve"> vigentes desde </w:t>
      </w:r>
      <w:r w:rsidRPr="002E0DDE">
        <w:rPr>
          <w:rFonts w:ascii="Book Antiqua" w:hAnsi="Book Antiqua"/>
          <w:b/>
          <w:bCs/>
          <w:sz w:val="24"/>
          <w:szCs w:val="24"/>
          <w:lang w:val="es-DO"/>
        </w:rPr>
        <w:t xml:space="preserve">el 1 de </w:t>
      </w:r>
      <w:r w:rsidR="005F1227">
        <w:rPr>
          <w:rFonts w:ascii="Book Antiqua" w:hAnsi="Book Antiqua"/>
          <w:b/>
          <w:bCs/>
          <w:sz w:val="24"/>
          <w:szCs w:val="24"/>
          <w:lang w:val="es-DO"/>
        </w:rPr>
        <w:t>enero del 2022</w:t>
      </w:r>
      <w:r w:rsidR="00252436" w:rsidRPr="002E0DDE">
        <w:rPr>
          <w:rFonts w:ascii="Book Antiqua" w:hAnsi="Book Antiqua"/>
          <w:b/>
          <w:bCs/>
          <w:sz w:val="24"/>
          <w:szCs w:val="24"/>
          <w:lang w:val="es-DO"/>
        </w:rPr>
        <w:t xml:space="preserve"> hasta </w:t>
      </w:r>
      <w:r w:rsidRPr="002E0DDE">
        <w:rPr>
          <w:rFonts w:ascii="Book Antiqua" w:hAnsi="Book Antiqua"/>
          <w:b/>
          <w:bCs/>
          <w:sz w:val="24"/>
          <w:szCs w:val="24"/>
          <w:lang w:val="es-DO"/>
        </w:rPr>
        <w:t xml:space="preserve">el </w:t>
      </w:r>
      <w:r w:rsidR="005F1227">
        <w:rPr>
          <w:rFonts w:ascii="Book Antiqua" w:hAnsi="Book Antiqua"/>
          <w:b/>
          <w:bCs/>
          <w:sz w:val="24"/>
          <w:szCs w:val="24"/>
          <w:lang w:val="es-DO"/>
        </w:rPr>
        <w:t>31</w:t>
      </w:r>
      <w:r w:rsidRPr="002E0DDE">
        <w:rPr>
          <w:rFonts w:ascii="Book Antiqua" w:hAnsi="Book Antiqua"/>
          <w:b/>
          <w:bCs/>
          <w:sz w:val="24"/>
          <w:szCs w:val="24"/>
          <w:lang w:val="es-DO"/>
        </w:rPr>
        <w:t xml:space="preserve"> de </w:t>
      </w:r>
      <w:r w:rsidR="005F1227">
        <w:rPr>
          <w:rFonts w:ascii="Book Antiqua" w:hAnsi="Book Antiqua"/>
          <w:b/>
          <w:bCs/>
          <w:sz w:val="24"/>
          <w:szCs w:val="24"/>
          <w:lang w:val="es-DO"/>
        </w:rPr>
        <w:t>diciembre del 2023</w:t>
      </w:r>
      <w:r w:rsidR="00252436">
        <w:rPr>
          <w:rFonts w:ascii="Book Antiqua" w:hAnsi="Book Antiqua"/>
          <w:sz w:val="24"/>
          <w:szCs w:val="24"/>
          <w:lang w:val="es-DO"/>
        </w:rPr>
        <w:t xml:space="preserve"> son</w:t>
      </w:r>
      <w:r>
        <w:rPr>
          <w:rFonts w:ascii="Book Antiqua" w:hAnsi="Book Antiqua"/>
          <w:sz w:val="24"/>
          <w:szCs w:val="24"/>
          <w:lang w:val="es-DO"/>
        </w:rPr>
        <w:t xml:space="preserve"> </w:t>
      </w:r>
      <w:r w:rsidRPr="00F0028A">
        <w:rPr>
          <w:rFonts w:ascii="Book Antiqua" w:hAnsi="Book Antiqua"/>
          <w:sz w:val="24"/>
          <w:szCs w:val="24"/>
          <w:lang w:val="es-DO"/>
        </w:rPr>
        <w:t>US$</w:t>
      </w:r>
      <w:r w:rsidR="005F1227">
        <w:rPr>
          <w:rFonts w:ascii="Book Antiqua" w:hAnsi="Book Antiqua"/>
          <w:sz w:val="24"/>
          <w:szCs w:val="24"/>
          <w:lang w:val="es-DO"/>
        </w:rPr>
        <w:t>92,319</w:t>
      </w:r>
      <w:r>
        <w:rPr>
          <w:rFonts w:ascii="Book Antiqua" w:hAnsi="Book Antiqua"/>
          <w:sz w:val="24"/>
          <w:szCs w:val="24"/>
          <w:lang w:val="es-DO"/>
        </w:rPr>
        <w:t xml:space="preserve">.00 para bienes y servicios y </w:t>
      </w:r>
      <w:r w:rsidRPr="00F0028A">
        <w:rPr>
          <w:rFonts w:ascii="Book Antiqua" w:hAnsi="Book Antiqua"/>
          <w:sz w:val="24"/>
          <w:szCs w:val="24"/>
          <w:lang w:val="es-DO"/>
        </w:rPr>
        <w:t>US$</w:t>
      </w:r>
      <w:r w:rsidR="005F1227">
        <w:rPr>
          <w:rFonts w:ascii="Book Antiqua" w:hAnsi="Book Antiqua"/>
          <w:sz w:val="24"/>
          <w:szCs w:val="24"/>
          <w:lang w:val="es-DO"/>
        </w:rPr>
        <w:t>7,032,000</w:t>
      </w:r>
      <w:r>
        <w:rPr>
          <w:rFonts w:ascii="Book Antiqua" w:hAnsi="Book Antiqua"/>
          <w:sz w:val="24"/>
          <w:szCs w:val="24"/>
          <w:lang w:val="es-DO"/>
        </w:rPr>
        <w:t xml:space="preserve">.00 para la contratación de obras. </w:t>
      </w:r>
    </w:p>
    <w:p w14:paraId="5D96FE1D" w14:textId="77777777" w:rsidR="003708A1" w:rsidRDefault="003708A1" w:rsidP="00713EDC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p w14:paraId="55F8BFA7" w14:textId="4F587D4B" w:rsidR="0036073A" w:rsidRDefault="00F0028A" w:rsidP="00713EDC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>
        <w:rPr>
          <w:rFonts w:ascii="Book Antiqua" w:hAnsi="Book Antiqua"/>
          <w:sz w:val="24"/>
          <w:szCs w:val="24"/>
          <w:lang w:val="es-DO"/>
        </w:rPr>
        <w:t xml:space="preserve">De conformidad con </w:t>
      </w:r>
      <w:r w:rsidRPr="00F0028A">
        <w:rPr>
          <w:rFonts w:ascii="Book Antiqua" w:hAnsi="Book Antiqua"/>
          <w:sz w:val="24"/>
          <w:szCs w:val="24"/>
          <w:lang w:val="es-DO"/>
        </w:rPr>
        <w:t xml:space="preserve">el párrafo 6 de la sección H, del Capítulo 9 del DR-CAFTA, </w:t>
      </w:r>
      <w:r>
        <w:rPr>
          <w:rFonts w:ascii="Book Antiqua" w:hAnsi="Book Antiqua"/>
          <w:sz w:val="24"/>
          <w:szCs w:val="24"/>
          <w:lang w:val="es-DO"/>
        </w:rPr>
        <w:t xml:space="preserve">estos </w:t>
      </w:r>
      <w:r w:rsidRPr="00F0028A">
        <w:rPr>
          <w:rFonts w:ascii="Book Antiqua" w:hAnsi="Book Antiqua"/>
          <w:sz w:val="24"/>
          <w:szCs w:val="24"/>
          <w:lang w:val="es-DO"/>
        </w:rPr>
        <w:t>valores ajustados de la contratación pública deben ser convertidos a moneda local</w:t>
      </w:r>
      <w:r w:rsidR="0036073A">
        <w:rPr>
          <w:rFonts w:ascii="Book Antiqua" w:hAnsi="Book Antiqua"/>
          <w:sz w:val="24"/>
          <w:szCs w:val="24"/>
          <w:lang w:val="es-DO"/>
        </w:rPr>
        <w:t xml:space="preserve"> </w:t>
      </w:r>
      <w:r w:rsidRPr="00F0028A">
        <w:rPr>
          <w:rFonts w:ascii="Book Antiqua" w:hAnsi="Book Antiqua"/>
          <w:sz w:val="24"/>
          <w:szCs w:val="24"/>
          <w:lang w:val="es-DO"/>
        </w:rPr>
        <w:t>que</w:t>
      </w:r>
      <w:r w:rsidR="0036073A">
        <w:rPr>
          <w:rFonts w:ascii="Book Antiqua" w:hAnsi="Book Antiqua"/>
          <w:sz w:val="24"/>
          <w:szCs w:val="24"/>
          <w:lang w:val="es-DO"/>
        </w:rPr>
        <w:t>,</w:t>
      </w:r>
      <w:r w:rsidRPr="00F0028A">
        <w:rPr>
          <w:rFonts w:ascii="Book Antiqua" w:hAnsi="Book Antiqua"/>
          <w:sz w:val="24"/>
          <w:szCs w:val="24"/>
          <w:lang w:val="es-DO"/>
        </w:rPr>
        <w:t xml:space="preserve"> en el caso que nos ocupa, corresponde a pesos dominicanos</w:t>
      </w:r>
      <w:r>
        <w:rPr>
          <w:rFonts w:ascii="Book Antiqua" w:hAnsi="Book Antiqua"/>
          <w:sz w:val="24"/>
          <w:szCs w:val="24"/>
          <w:lang w:val="es-DO"/>
        </w:rPr>
        <w:t xml:space="preserve">, para lo cual se toma en cuenta la </w:t>
      </w:r>
      <w:r w:rsidRPr="002E0DDE">
        <w:rPr>
          <w:rFonts w:ascii="Book Antiqua" w:hAnsi="Book Antiqua"/>
          <w:b/>
          <w:bCs/>
          <w:sz w:val="24"/>
          <w:szCs w:val="24"/>
          <w:lang w:val="es-DO"/>
        </w:rPr>
        <w:t xml:space="preserve">tasa cambiaria de venta del dólar estadounidense publicada por el Banco </w:t>
      </w:r>
      <w:r w:rsidRPr="002E0DDE">
        <w:rPr>
          <w:rFonts w:ascii="Book Antiqua" w:hAnsi="Book Antiqua"/>
          <w:b/>
          <w:bCs/>
          <w:sz w:val="24"/>
          <w:szCs w:val="24"/>
          <w:lang w:val="es-DO"/>
        </w:rPr>
        <w:lastRenderedPageBreak/>
        <w:t>Central</w:t>
      </w:r>
      <w:r>
        <w:rPr>
          <w:rFonts w:ascii="Book Antiqua" w:hAnsi="Book Antiqua"/>
          <w:sz w:val="24"/>
          <w:szCs w:val="24"/>
          <w:lang w:val="es-DO"/>
        </w:rPr>
        <w:t xml:space="preserve"> y que se </w:t>
      </w:r>
      <w:r w:rsidR="0036073A">
        <w:rPr>
          <w:rFonts w:ascii="Book Antiqua" w:hAnsi="Book Antiqua"/>
          <w:sz w:val="24"/>
          <w:szCs w:val="24"/>
          <w:lang w:val="es-DO"/>
        </w:rPr>
        <w:t>encuentre</w:t>
      </w:r>
      <w:r>
        <w:rPr>
          <w:rFonts w:ascii="Book Antiqua" w:hAnsi="Book Antiqua"/>
          <w:sz w:val="24"/>
          <w:szCs w:val="24"/>
          <w:lang w:val="es-DO"/>
        </w:rPr>
        <w:t xml:space="preserve"> vigente al día de </w:t>
      </w:r>
      <w:r w:rsidR="0036073A">
        <w:rPr>
          <w:rFonts w:ascii="Book Antiqua" w:hAnsi="Book Antiqua"/>
          <w:sz w:val="24"/>
          <w:szCs w:val="24"/>
          <w:lang w:val="es-DO"/>
        </w:rPr>
        <w:t xml:space="preserve">la </w:t>
      </w:r>
      <w:r>
        <w:rPr>
          <w:rFonts w:ascii="Book Antiqua" w:hAnsi="Book Antiqua"/>
          <w:sz w:val="24"/>
          <w:szCs w:val="24"/>
          <w:lang w:val="es-DO"/>
        </w:rPr>
        <w:t>emisión de la resolución que establece los umbrales topes para cada año</w:t>
      </w:r>
      <w:r w:rsidRPr="00F0028A">
        <w:rPr>
          <w:rFonts w:ascii="Book Antiqua" w:hAnsi="Book Antiqua"/>
          <w:sz w:val="24"/>
          <w:szCs w:val="24"/>
          <w:lang w:val="es-DO"/>
        </w:rPr>
        <w:t>.</w:t>
      </w:r>
      <w:r w:rsidR="0036073A">
        <w:rPr>
          <w:rFonts w:ascii="Book Antiqua" w:hAnsi="Book Antiqua"/>
          <w:sz w:val="24"/>
          <w:szCs w:val="24"/>
          <w:lang w:val="es-DO"/>
        </w:rPr>
        <w:t xml:space="preserve"> </w:t>
      </w:r>
    </w:p>
    <w:p w14:paraId="10CB906C" w14:textId="77777777" w:rsidR="005F1227" w:rsidRDefault="005F1227" w:rsidP="00713EDC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p w14:paraId="2A4E82F5" w14:textId="6B4E7B59" w:rsidR="00713EDC" w:rsidRDefault="0036073A" w:rsidP="00713EDC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>
        <w:rPr>
          <w:rFonts w:ascii="Book Antiqua" w:hAnsi="Book Antiqua"/>
          <w:sz w:val="24"/>
          <w:szCs w:val="24"/>
          <w:lang w:val="es-DO"/>
        </w:rPr>
        <w:t xml:space="preserve">En los casos en que el </w:t>
      </w:r>
      <w:r w:rsidR="006632B1">
        <w:rPr>
          <w:rFonts w:ascii="Book Antiqua" w:hAnsi="Book Antiqua"/>
          <w:sz w:val="24"/>
          <w:szCs w:val="24"/>
          <w:lang w:val="es-DO"/>
        </w:rPr>
        <w:t xml:space="preserve">cálculo </w:t>
      </w:r>
      <w:r>
        <w:rPr>
          <w:rFonts w:ascii="Book Antiqua" w:hAnsi="Book Antiqua"/>
          <w:sz w:val="24"/>
          <w:szCs w:val="24"/>
          <w:lang w:val="es-DO"/>
        </w:rPr>
        <w:t>arrojado por la tabla supere el umbral del DR-CAFTA, se establece como umbral tope la conversión a pesos dominicanos de este último, a los fines de cumplir con las disposiciones de dicho acuerdo comercial.</w:t>
      </w:r>
    </w:p>
    <w:p w14:paraId="5376EC48" w14:textId="32D76514" w:rsidR="00ED790A" w:rsidRDefault="00ED790A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p w14:paraId="75687E37" w14:textId="1FA6D70C" w:rsidR="006632B1" w:rsidRDefault="00F0028A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F0028A">
        <w:rPr>
          <w:rFonts w:ascii="Book Antiqua" w:hAnsi="Book Antiqua"/>
          <w:b/>
          <w:bCs/>
          <w:sz w:val="24"/>
          <w:szCs w:val="24"/>
          <w:lang w:val="es-DO"/>
        </w:rPr>
        <w:t>Año 202</w:t>
      </w:r>
      <w:r w:rsidR="005F1227">
        <w:rPr>
          <w:rFonts w:ascii="Book Antiqua" w:hAnsi="Book Antiqua"/>
          <w:b/>
          <w:bCs/>
          <w:sz w:val="24"/>
          <w:szCs w:val="24"/>
          <w:lang w:val="es-DO"/>
        </w:rPr>
        <w:t>3</w:t>
      </w:r>
      <w:r w:rsidRPr="00F0028A">
        <w:rPr>
          <w:rFonts w:ascii="Book Antiqua" w:hAnsi="Book Antiqua"/>
          <w:b/>
          <w:bCs/>
          <w:sz w:val="24"/>
          <w:szCs w:val="24"/>
          <w:lang w:val="es-DO"/>
        </w:rPr>
        <w:t>.</w:t>
      </w:r>
      <w:r>
        <w:rPr>
          <w:rFonts w:ascii="Book Antiqua" w:hAnsi="Book Antiqua"/>
          <w:sz w:val="24"/>
          <w:szCs w:val="24"/>
          <w:lang w:val="es-DO"/>
        </w:rPr>
        <w:t xml:space="preserve"> </w:t>
      </w:r>
      <w:r w:rsidR="00FC2175">
        <w:rPr>
          <w:rFonts w:ascii="Book Antiqua" w:hAnsi="Book Antiqua"/>
          <w:sz w:val="24"/>
          <w:szCs w:val="24"/>
          <w:lang w:val="es-DO"/>
        </w:rPr>
        <w:t xml:space="preserve">Para el presente año, la Ley Núm. </w:t>
      </w:r>
      <w:r w:rsidR="005F1227">
        <w:rPr>
          <w:rFonts w:ascii="Book Antiqua" w:hAnsi="Book Antiqua"/>
          <w:sz w:val="24"/>
          <w:szCs w:val="24"/>
          <w:lang w:val="es-DO"/>
        </w:rPr>
        <w:t>366-22</w:t>
      </w:r>
      <w:r w:rsidR="00FC2175">
        <w:rPr>
          <w:rFonts w:ascii="Book Antiqua" w:hAnsi="Book Antiqua"/>
          <w:sz w:val="24"/>
          <w:szCs w:val="24"/>
          <w:lang w:val="es-DO"/>
        </w:rPr>
        <w:t xml:space="preserve"> de fecha </w:t>
      </w:r>
      <w:r w:rsidR="005F1227">
        <w:rPr>
          <w:rFonts w:ascii="Book Antiqua" w:hAnsi="Book Antiqua"/>
          <w:sz w:val="24"/>
          <w:szCs w:val="24"/>
          <w:lang w:val="es-DO"/>
        </w:rPr>
        <w:t>8</w:t>
      </w:r>
      <w:r w:rsidR="00FC2175">
        <w:rPr>
          <w:rFonts w:ascii="Book Antiqua" w:hAnsi="Book Antiqua"/>
          <w:sz w:val="24"/>
          <w:szCs w:val="24"/>
          <w:lang w:val="es-DO"/>
        </w:rPr>
        <w:t xml:space="preserve"> de diciembre del 202</w:t>
      </w:r>
      <w:r w:rsidR="005F1227">
        <w:rPr>
          <w:rFonts w:ascii="Book Antiqua" w:hAnsi="Book Antiqua"/>
          <w:sz w:val="24"/>
          <w:szCs w:val="24"/>
          <w:lang w:val="es-DO"/>
        </w:rPr>
        <w:t>2</w:t>
      </w:r>
      <w:r w:rsidR="00FC2175">
        <w:rPr>
          <w:rFonts w:ascii="Book Antiqua" w:hAnsi="Book Antiqua"/>
          <w:sz w:val="24"/>
          <w:szCs w:val="24"/>
          <w:lang w:val="es-DO"/>
        </w:rPr>
        <w:t xml:space="preserve">, </w:t>
      </w:r>
      <w:r w:rsidR="0036073A">
        <w:rPr>
          <w:rFonts w:ascii="Book Antiqua" w:hAnsi="Book Antiqua"/>
          <w:sz w:val="24"/>
          <w:szCs w:val="24"/>
          <w:lang w:val="es-DO"/>
        </w:rPr>
        <w:t>establece</w:t>
      </w:r>
      <w:r w:rsidR="00FC2175">
        <w:rPr>
          <w:rFonts w:ascii="Book Antiqua" w:hAnsi="Book Antiqua"/>
          <w:sz w:val="24"/>
          <w:szCs w:val="24"/>
          <w:lang w:val="es-DO"/>
        </w:rPr>
        <w:t xml:space="preserve"> un presupuesto de ingresos corrientes del Gobierno Central que asciende a la suma de </w:t>
      </w:r>
      <w:r w:rsidR="00FC2175" w:rsidRPr="008D36DA">
        <w:rPr>
          <w:rFonts w:ascii="Book Antiqua" w:hAnsi="Book Antiqua"/>
          <w:b/>
          <w:bCs/>
          <w:sz w:val="24"/>
          <w:szCs w:val="24"/>
          <w:lang w:val="es-DO"/>
        </w:rPr>
        <w:t>RD$</w:t>
      </w:r>
      <w:r w:rsidR="005F1227">
        <w:rPr>
          <w:rFonts w:ascii="Book Antiqua" w:hAnsi="Book Antiqua"/>
          <w:b/>
          <w:bCs/>
          <w:sz w:val="24"/>
          <w:szCs w:val="24"/>
          <w:lang w:val="es-DO"/>
        </w:rPr>
        <w:t>1,028,757,946,347.00</w:t>
      </w:r>
      <w:r w:rsidR="006632B1">
        <w:rPr>
          <w:rFonts w:ascii="Book Antiqua" w:hAnsi="Book Antiqua"/>
          <w:sz w:val="24"/>
          <w:szCs w:val="24"/>
          <w:lang w:val="es-DO"/>
        </w:rPr>
        <w:t xml:space="preserve">. </w:t>
      </w:r>
      <w:r w:rsidR="00953BF5">
        <w:rPr>
          <w:rFonts w:ascii="Book Antiqua" w:hAnsi="Book Antiqua"/>
          <w:sz w:val="24"/>
          <w:szCs w:val="24"/>
          <w:lang w:val="es-DO"/>
        </w:rPr>
        <w:t>En ese sentido, se realizó</w:t>
      </w:r>
      <w:r w:rsidR="006632B1">
        <w:rPr>
          <w:rFonts w:ascii="Book Antiqua" w:hAnsi="Book Antiqua"/>
          <w:sz w:val="24"/>
          <w:szCs w:val="24"/>
          <w:lang w:val="es-DO"/>
        </w:rPr>
        <w:t xml:space="preserve"> </w:t>
      </w:r>
      <w:r w:rsidR="00A35755">
        <w:rPr>
          <w:rFonts w:ascii="Book Antiqua" w:hAnsi="Book Antiqua"/>
          <w:sz w:val="24"/>
          <w:szCs w:val="24"/>
          <w:lang w:val="es-DO"/>
        </w:rPr>
        <w:t xml:space="preserve">el </w:t>
      </w:r>
      <w:r w:rsidR="006632B1">
        <w:rPr>
          <w:rFonts w:ascii="Book Antiqua" w:hAnsi="Book Antiqua"/>
          <w:sz w:val="24"/>
          <w:szCs w:val="24"/>
          <w:lang w:val="es-DO"/>
        </w:rPr>
        <w:t xml:space="preserve">cálculo en base a la tabla establecida en el artículo 17 de la ley, </w:t>
      </w:r>
      <w:r w:rsidR="00953BF5">
        <w:rPr>
          <w:rFonts w:ascii="Book Antiqua" w:hAnsi="Book Antiqua"/>
          <w:sz w:val="24"/>
          <w:szCs w:val="24"/>
          <w:lang w:val="es-DO"/>
        </w:rPr>
        <w:t>dando</w:t>
      </w:r>
      <w:r w:rsidR="006632B1">
        <w:rPr>
          <w:rFonts w:ascii="Book Antiqua" w:hAnsi="Book Antiqua"/>
          <w:sz w:val="24"/>
          <w:szCs w:val="24"/>
          <w:lang w:val="es-DO"/>
        </w:rPr>
        <w:t xml:space="preserve"> el siguien</w:t>
      </w:r>
      <w:r w:rsidR="00953BF5">
        <w:rPr>
          <w:rFonts w:ascii="Book Antiqua" w:hAnsi="Book Antiqua"/>
          <w:sz w:val="24"/>
          <w:szCs w:val="24"/>
          <w:lang w:val="es-DO"/>
        </w:rPr>
        <w:t>te</w:t>
      </w:r>
      <w:r w:rsidR="006632B1">
        <w:rPr>
          <w:rFonts w:ascii="Book Antiqua" w:hAnsi="Book Antiqua"/>
          <w:sz w:val="24"/>
          <w:szCs w:val="24"/>
          <w:lang w:val="es-DO"/>
        </w:rPr>
        <w:t xml:space="preserve"> resultado:</w:t>
      </w:r>
    </w:p>
    <w:p w14:paraId="6DE27E79" w14:textId="77777777" w:rsidR="006632B1" w:rsidRDefault="006632B1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tbl>
      <w:tblPr>
        <w:tblW w:w="454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245"/>
        <w:gridCol w:w="1991"/>
        <w:gridCol w:w="1916"/>
      </w:tblGrid>
      <w:tr w:rsidR="005F1227" w:rsidRPr="009D4A63" w14:paraId="272E1BD4" w14:textId="77777777" w:rsidTr="005F1227">
        <w:trPr>
          <w:trHeight w:val="213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14:paraId="3ADF64E3" w14:textId="77777777" w:rsidR="005F1227" w:rsidRPr="009D4A63" w:rsidRDefault="005F1227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b/>
                <w:bCs/>
                <w:sz w:val="16"/>
                <w:szCs w:val="16"/>
                <w:lang w:val="es-DO"/>
              </w:rPr>
            </w:pPr>
            <w:r w:rsidRPr="009D4A63">
              <w:rPr>
                <w:rFonts w:ascii="Artifex CF" w:hAnsi="Artifex CF" w:cs="Arial"/>
                <w:b/>
                <w:bCs/>
                <w:sz w:val="16"/>
                <w:szCs w:val="16"/>
                <w:lang w:val="es-DO"/>
              </w:rPr>
              <w:t>UMBRALES 2023</w:t>
            </w:r>
          </w:p>
        </w:tc>
      </w:tr>
      <w:tr w:rsidR="005F1227" w:rsidRPr="009D4A63" w14:paraId="166D0366" w14:textId="77777777" w:rsidTr="005F1227">
        <w:trPr>
          <w:trHeight w:val="480"/>
          <w:jc w:val="center"/>
        </w:trPr>
        <w:tc>
          <w:tcPr>
            <w:tcW w:w="1351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noWrap/>
            <w:vAlign w:val="bottom"/>
            <w:hideMark/>
          </w:tcPr>
          <w:p w14:paraId="2EEE52CF" w14:textId="77777777" w:rsidR="005F1227" w:rsidRPr="00723B29" w:rsidRDefault="005F1227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</w:pPr>
            <w:r w:rsidRPr="00723B29"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TIPO DE</w:t>
            </w:r>
          </w:p>
          <w:p w14:paraId="07EB8AEC" w14:textId="77777777" w:rsidR="005F1227" w:rsidRPr="00723B29" w:rsidRDefault="005F1227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</w:pPr>
            <w:r w:rsidRPr="00723B29"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PROCEDIMIENTO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723D2A4A" w14:textId="77777777" w:rsidR="005F1227" w:rsidRPr="00723B29" w:rsidRDefault="005F1227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</w:pPr>
            <w:r w:rsidRPr="00723B29"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OBRAS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2F8C5FAE" w14:textId="77777777" w:rsidR="005F1227" w:rsidRPr="00723B29" w:rsidRDefault="005F1227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</w:pPr>
            <w:r w:rsidRPr="00723B29"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BIENES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  <w:hideMark/>
          </w:tcPr>
          <w:p w14:paraId="373F675C" w14:textId="77777777" w:rsidR="005F1227" w:rsidRPr="00723B29" w:rsidRDefault="005F1227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</w:pPr>
            <w:r w:rsidRPr="00723B29"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SERVICIOS</w:t>
            </w:r>
          </w:p>
        </w:tc>
      </w:tr>
      <w:tr w:rsidR="009D4A63" w:rsidRPr="009D4A63" w14:paraId="696C5778" w14:textId="77777777" w:rsidTr="009D4A63">
        <w:trPr>
          <w:trHeight w:val="600"/>
          <w:jc w:val="center"/>
        </w:trPr>
        <w:tc>
          <w:tcPr>
            <w:tcW w:w="1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2824C3" w14:textId="77777777" w:rsidR="009D4A63" w:rsidRPr="00723B29" w:rsidRDefault="009D4A63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</w:pPr>
            <w:r w:rsidRPr="00723B29"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Licitación Pública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173C55" w14:textId="292B1959" w:rsidR="009D4A63" w:rsidRPr="00723B29" w:rsidRDefault="009D4A63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sz w:val="20"/>
                <w:szCs w:val="20"/>
                <w:lang w:val="es-DO"/>
              </w:rPr>
            </w:pPr>
            <w:r w:rsidRPr="00723B29">
              <w:rPr>
                <w:rFonts w:ascii="Artifex CF" w:hAnsi="Artifex CF" w:cs="Arial"/>
                <w:sz w:val="20"/>
                <w:szCs w:val="20"/>
                <w:lang w:val="es-DO"/>
              </w:rPr>
              <w:t xml:space="preserve"> </w:t>
            </w:r>
            <w:r w:rsidR="00723B29">
              <w:rPr>
                <w:rFonts w:ascii="Artifex CF" w:hAnsi="Artifex CF" w:cs="Arial"/>
                <w:sz w:val="20"/>
                <w:szCs w:val="20"/>
                <w:lang w:val="es-DO"/>
              </w:rPr>
              <w:t>RD$</w:t>
            </w:r>
            <w:r w:rsidRPr="00723B29"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617,254,768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26D83" w14:textId="718AD2BC" w:rsidR="009D4A63" w:rsidRPr="00723B29" w:rsidRDefault="00723B29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sz w:val="20"/>
                <w:szCs w:val="20"/>
                <w:lang w:val="es-DO"/>
              </w:rPr>
            </w:pPr>
            <w:r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RD$</w:t>
            </w:r>
            <w:r w:rsidR="009D4A63" w:rsidRPr="00723B29"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20,575,159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DFEBF8" w14:textId="0E7A6BE2" w:rsidR="009D4A63" w:rsidRPr="00723B29" w:rsidRDefault="00723B29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sz w:val="20"/>
                <w:szCs w:val="20"/>
                <w:lang w:val="es-DO"/>
              </w:rPr>
            </w:pPr>
            <w:r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RD$</w:t>
            </w:r>
            <w:r w:rsidR="009D4A63" w:rsidRPr="00723B29"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20,575,159</w:t>
            </w:r>
          </w:p>
        </w:tc>
      </w:tr>
      <w:tr w:rsidR="009D4A63" w:rsidRPr="009D4A63" w14:paraId="1C1634EE" w14:textId="77777777" w:rsidTr="009D4A63">
        <w:trPr>
          <w:trHeight w:val="554"/>
          <w:jc w:val="center"/>
        </w:trPr>
        <w:tc>
          <w:tcPr>
            <w:tcW w:w="1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47BBE" w14:textId="77777777" w:rsidR="009D4A63" w:rsidRPr="00723B29" w:rsidRDefault="009D4A63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</w:pPr>
            <w:r w:rsidRPr="00723B29"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Licitación Restringida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EC3078" w14:textId="2FCE6426" w:rsidR="009D4A63" w:rsidRPr="00723B29" w:rsidRDefault="00723B29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sz w:val="20"/>
                <w:szCs w:val="20"/>
                <w:lang w:val="es-DO"/>
              </w:rPr>
            </w:pPr>
            <w:r>
              <w:rPr>
                <w:rFonts w:ascii="Artifex CF" w:hAnsi="Artifex CF" w:cs="Arial"/>
                <w:sz w:val="20"/>
                <w:szCs w:val="20"/>
                <w:lang w:val="es-DO"/>
              </w:rPr>
              <w:t>RD$</w:t>
            </w:r>
            <w:r w:rsidR="009D4A63" w:rsidRPr="00723B29">
              <w:rPr>
                <w:rFonts w:ascii="Artifex CF" w:hAnsi="Artifex CF" w:cs="Arial"/>
                <w:sz w:val="20"/>
                <w:szCs w:val="20"/>
                <w:lang w:val="es-DO"/>
              </w:rPr>
              <w:t>257,189,487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C3C97" w14:textId="32480C8B" w:rsidR="009D4A63" w:rsidRPr="00723B29" w:rsidRDefault="00723B29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sz w:val="20"/>
                <w:szCs w:val="20"/>
                <w:lang w:val="es-DO"/>
              </w:rPr>
            </w:pPr>
            <w:r>
              <w:rPr>
                <w:rFonts w:ascii="Artifex CF" w:hAnsi="Artifex CF" w:cs="Arial"/>
                <w:sz w:val="20"/>
                <w:szCs w:val="20"/>
                <w:lang w:val="es-DO"/>
              </w:rPr>
              <w:t>RD$</w:t>
            </w:r>
            <w:r w:rsidR="009D4A63" w:rsidRPr="00723B29">
              <w:rPr>
                <w:rFonts w:ascii="Artifex CF" w:hAnsi="Artifex CF" w:cs="Arial"/>
                <w:sz w:val="20"/>
                <w:szCs w:val="20"/>
                <w:lang w:val="es-DO"/>
              </w:rPr>
              <w:t>8,230,064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7D5443" w14:textId="067B420D" w:rsidR="009D4A63" w:rsidRPr="00723B29" w:rsidRDefault="00723B29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sz w:val="20"/>
                <w:szCs w:val="20"/>
                <w:lang w:val="es-DO"/>
              </w:rPr>
            </w:pPr>
            <w:r>
              <w:rPr>
                <w:rFonts w:ascii="Artifex CF" w:hAnsi="Artifex CF" w:cs="Arial"/>
                <w:sz w:val="20"/>
                <w:szCs w:val="20"/>
                <w:lang w:val="es-DO"/>
              </w:rPr>
              <w:t>RD$</w:t>
            </w:r>
            <w:r w:rsidR="009D4A63" w:rsidRPr="00723B29">
              <w:rPr>
                <w:rFonts w:ascii="Artifex CF" w:hAnsi="Artifex CF" w:cs="Arial"/>
                <w:sz w:val="20"/>
                <w:szCs w:val="20"/>
                <w:lang w:val="es-DO"/>
              </w:rPr>
              <w:t>8,230,064</w:t>
            </w:r>
          </w:p>
        </w:tc>
      </w:tr>
      <w:tr w:rsidR="009D4A63" w:rsidRPr="009D4A63" w14:paraId="5EA56B95" w14:textId="77777777" w:rsidTr="009D4A63">
        <w:trPr>
          <w:trHeight w:val="602"/>
          <w:jc w:val="center"/>
        </w:trPr>
        <w:tc>
          <w:tcPr>
            <w:tcW w:w="1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F956D8" w14:textId="77777777" w:rsidR="009D4A63" w:rsidRPr="00723B29" w:rsidRDefault="009D4A63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</w:pPr>
            <w:r w:rsidRPr="00723B29"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Sorteo de Obras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561C6" w14:textId="4D631E60" w:rsidR="009D4A63" w:rsidRPr="00723B29" w:rsidRDefault="00723B29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sz w:val="20"/>
                <w:szCs w:val="20"/>
                <w:lang w:val="es-DO"/>
              </w:rPr>
            </w:pPr>
            <w:r>
              <w:rPr>
                <w:rFonts w:ascii="Artifex CF" w:hAnsi="Artifex CF" w:cs="Arial"/>
                <w:sz w:val="20"/>
                <w:szCs w:val="20"/>
                <w:lang w:val="es-DO"/>
              </w:rPr>
              <w:t>RD$</w:t>
            </w:r>
            <w:r w:rsidR="009D4A63" w:rsidRPr="00723B29">
              <w:rPr>
                <w:rFonts w:ascii="Artifex CF" w:hAnsi="Artifex CF" w:cs="Arial"/>
                <w:sz w:val="20"/>
                <w:szCs w:val="20"/>
                <w:lang w:val="es-DO"/>
              </w:rPr>
              <w:t>154,313,692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04E9CF" w14:textId="77777777" w:rsidR="009D4A63" w:rsidRPr="00723B29" w:rsidRDefault="009D4A63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sz w:val="20"/>
                <w:szCs w:val="20"/>
                <w:lang w:val="es-DO"/>
              </w:rPr>
            </w:pPr>
            <w:r w:rsidRPr="00723B29">
              <w:rPr>
                <w:rFonts w:ascii="Artifex CF" w:hAnsi="Artifex CF" w:cs="Arial"/>
                <w:sz w:val="20"/>
                <w:szCs w:val="20"/>
                <w:lang w:val="es-DO"/>
              </w:rPr>
              <w:t xml:space="preserve"> N/A 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8A6DDC" w14:textId="29C2E7EC" w:rsidR="009D4A63" w:rsidRPr="00723B29" w:rsidRDefault="009D4A63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sz w:val="20"/>
                <w:szCs w:val="20"/>
                <w:lang w:val="es-DO"/>
              </w:rPr>
            </w:pPr>
            <w:r w:rsidRPr="00723B29">
              <w:rPr>
                <w:rFonts w:ascii="Artifex CF" w:hAnsi="Artifex CF" w:cs="Arial"/>
                <w:sz w:val="20"/>
                <w:szCs w:val="20"/>
                <w:lang w:val="es-DO"/>
              </w:rPr>
              <w:t xml:space="preserve"> N/A </w:t>
            </w:r>
          </w:p>
        </w:tc>
      </w:tr>
      <w:tr w:rsidR="009D4A63" w:rsidRPr="009D4A63" w14:paraId="26D8BF60" w14:textId="77777777" w:rsidTr="009D4A63">
        <w:trPr>
          <w:trHeight w:val="523"/>
          <w:jc w:val="center"/>
        </w:trPr>
        <w:tc>
          <w:tcPr>
            <w:tcW w:w="135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1D2B18" w14:textId="77777777" w:rsidR="009D4A63" w:rsidRPr="00723B29" w:rsidRDefault="009D4A63" w:rsidP="00723B29">
            <w:pPr>
              <w:autoSpaceDE w:val="0"/>
              <w:autoSpaceDN w:val="0"/>
              <w:adjustRightInd w:val="0"/>
              <w:spacing w:after="0" w:line="240" w:lineRule="auto"/>
              <w:mirrorIndents/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</w:pPr>
            <w:r w:rsidRPr="00723B29"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Comparación de Precios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0AE3C6" w14:textId="79EA354D" w:rsidR="009D4A63" w:rsidRPr="00723B29" w:rsidRDefault="00723B29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sz w:val="20"/>
                <w:szCs w:val="20"/>
                <w:lang w:val="es-DO"/>
              </w:rPr>
            </w:pPr>
            <w:r>
              <w:rPr>
                <w:rFonts w:ascii="Artifex CF" w:hAnsi="Artifex CF" w:cs="Arial"/>
                <w:sz w:val="20"/>
                <w:szCs w:val="20"/>
                <w:lang w:val="es-DO"/>
              </w:rPr>
              <w:t>RD$</w:t>
            </w:r>
            <w:r w:rsidR="009D4A63" w:rsidRPr="00723B29">
              <w:rPr>
                <w:rFonts w:ascii="Artifex CF" w:hAnsi="Artifex CF" w:cs="Arial"/>
                <w:sz w:val="20"/>
                <w:szCs w:val="20"/>
                <w:lang w:val="es-DO"/>
              </w:rPr>
              <w:t>41,150,318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D11BA4" w14:textId="795BA88A" w:rsidR="009D4A63" w:rsidRPr="00723B29" w:rsidRDefault="00723B29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sz w:val="20"/>
                <w:szCs w:val="20"/>
                <w:lang w:val="es-DO"/>
              </w:rPr>
            </w:pPr>
            <w:r>
              <w:rPr>
                <w:rFonts w:ascii="Artifex CF" w:hAnsi="Artifex CF" w:cs="Arial"/>
                <w:sz w:val="20"/>
                <w:szCs w:val="20"/>
                <w:lang w:val="es-DO"/>
              </w:rPr>
              <w:t>RD$</w:t>
            </w:r>
            <w:r w:rsidR="009D4A63" w:rsidRPr="00723B29">
              <w:rPr>
                <w:rFonts w:ascii="Artifex CF" w:hAnsi="Artifex CF" w:cs="Arial"/>
                <w:sz w:val="20"/>
                <w:szCs w:val="20"/>
                <w:lang w:val="es-DO"/>
              </w:rPr>
              <w:t>1,543,137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1E2E08" w14:textId="299CED8D" w:rsidR="009D4A63" w:rsidRPr="00723B29" w:rsidRDefault="00723B29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sz w:val="20"/>
                <w:szCs w:val="20"/>
                <w:lang w:val="es-DO"/>
              </w:rPr>
            </w:pPr>
            <w:r>
              <w:rPr>
                <w:rFonts w:ascii="Artifex CF" w:hAnsi="Artifex CF" w:cs="Arial"/>
                <w:sz w:val="20"/>
                <w:szCs w:val="20"/>
                <w:lang w:val="es-DO"/>
              </w:rPr>
              <w:t>RD$</w:t>
            </w:r>
            <w:r w:rsidR="009D4A63" w:rsidRPr="00723B29">
              <w:rPr>
                <w:rFonts w:ascii="Artifex CF" w:hAnsi="Artifex CF" w:cs="Arial"/>
                <w:sz w:val="20"/>
                <w:szCs w:val="20"/>
                <w:lang w:val="es-DO"/>
              </w:rPr>
              <w:t>1,543,137</w:t>
            </w:r>
          </w:p>
        </w:tc>
      </w:tr>
      <w:tr w:rsidR="009D4A63" w14:paraId="31BC2543" w14:textId="77777777" w:rsidTr="00723B29">
        <w:trPr>
          <w:trHeight w:val="541"/>
          <w:jc w:val="center"/>
        </w:trPr>
        <w:tc>
          <w:tcPr>
            <w:tcW w:w="135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3912835" w14:textId="3D685A22" w:rsidR="009D4A63" w:rsidRPr="00723B29" w:rsidRDefault="00723B29" w:rsidP="00723B29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</w:pPr>
            <w:r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C</w:t>
            </w:r>
            <w:r w:rsidR="009D4A63" w:rsidRPr="00723B29">
              <w:rPr>
                <w:rFonts w:ascii="Artifex CF" w:hAnsi="Artifex CF" w:cs="Arial"/>
                <w:b/>
                <w:bCs/>
                <w:sz w:val="20"/>
                <w:szCs w:val="20"/>
                <w:lang w:val="es-DO"/>
              </w:rPr>
              <w:t>ompras Menores</w:t>
            </w:r>
          </w:p>
        </w:tc>
        <w:tc>
          <w:tcPr>
            <w:tcW w:w="13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2C04A08" w14:textId="3C34A7C4" w:rsidR="009D4A63" w:rsidRPr="00723B29" w:rsidRDefault="009D4A63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sz w:val="20"/>
                <w:szCs w:val="20"/>
                <w:lang w:val="es-DO"/>
              </w:rPr>
            </w:pPr>
            <w:r w:rsidRPr="00723B29">
              <w:rPr>
                <w:rFonts w:ascii="Artifex CF" w:hAnsi="Artifex CF" w:cs="Arial"/>
                <w:sz w:val="20"/>
                <w:szCs w:val="20"/>
                <w:lang w:val="es-DO"/>
              </w:rPr>
              <w:t>N/A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740EE3F" w14:textId="149D2A5E" w:rsidR="009D4A63" w:rsidRPr="00723B29" w:rsidRDefault="00723B29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sz w:val="20"/>
                <w:szCs w:val="20"/>
                <w:lang w:val="es-DO"/>
              </w:rPr>
            </w:pPr>
            <w:r>
              <w:rPr>
                <w:rFonts w:ascii="Artifex CF" w:hAnsi="Artifex CF" w:cs="Arial"/>
                <w:sz w:val="20"/>
                <w:szCs w:val="20"/>
                <w:lang w:val="es-DO"/>
              </w:rPr>
              <w:t>RD$</w:t>
            </w:r>
            <w:r w:rsidR="009D4A63" w:rsidRPr="00723B29">
              <w:rPr>
                <w:rFonts w:ascii="Artifex CF" w:hAnsi="Artifex CF" w:cs="Arial"/>
                <w:sz w:val="20"/>
                <w:szCs w:val="20"/>
                <w:lang w:val="es-DO"/>
              </w:rPr>
              <w:t>205,752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5B7A830" w14:textId="7AB9F5CD" w:rsidR="009D4A63" w:rsidRPr="00723B29" w:rsidRDefault="00723B29" w:rsidP="009D4A63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Artifex CF" w:hAnsi="Artifex CF" w:cs="Arial"/>
                <w:sz w:val="20"/>
                <w:szCs w:val="20"/>
                <w:lang w:val="es-DO"/>
              </w:rPr>
            </w:pPr>
            <w:r>
              <w:rPr>
                <w:rFonts w:ascii="Artifex CF" w:hAnsi="Artifex CF" w:cs="Arial"/>
                <w:sz w:val="20"/>
                <w:szCs w:val="20"/>
                <w:lang w:val="es-DO"/>
              </w:rPr>
              <w:t>RD$</w:t>
            </w:r>
            <w:r w:rsidR="009D4A63" w:rsidRPr="00723B29">
              <w:rPr>
                <w:rFonts w:ascii="Artifex CF" w:hAnsi="Artifex CF" w:cs="Arial"/>
                <w:sz w:val="20"/>
                <w:szCs w:val="20"/>
                <w:lang w:val="es-DO"/>
              </w:rPr>
              <w:t>205,752</w:t>
            </w:r>
          </w:p>
        </w:tc>
      </w:tr>
    </w:tbl>
    <w:p w14:paraId="1229F729" w14:textId="77777777" w:rsidR="006632B1" w:rsidRDefault="006632B1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p w14:paraId="581A560F" w14:textId="5E1DD069" w:rsidR="00DA42B0" w:rsidRDefault="00AA71CF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>
        <w:rPr>
          <w:rFonts w:ascii="Book Antiqua" w:hAnsi="Book Antiqua"/>
          <w:sz w:val="24"/>
          <w:szCs w:val="24"/>
          <w:lang w:val="es-DO"/>
        </w:rPr>
        <w:t>En el mismo orden,</w:t>
      </w:r>
      <w:r w:rsidR="00C97630">
        <w:rPr>
          <w:rFonts w:ascii="Book Antiqua" w:hAnsi="Book Antiqua"/>
          <w:sz w:val="24"/>
          <w:szCs w:val="24"/>
          <w:lang w:val="es-DO"/>
        </w:rPr>
        <w:t xml:space="preserve"> </w:t>
      </w:r>
      <w:r w:rsidR="00D6605B">
        <w:rPr>
          <w:rFonts w:ascii="Book Antiqua" w:hAnsi="Book Antiqua"/>
          <w:sz w:val="24"/>
          <w:szCs w:val="24"/>
          <w:lang w:val="es-DO"/>
        </w:rPr>
        <w:t>los umbrales del D</w:t>
      </w:r>
      <w:r w:rsidR="005478E4">
        <w:rPr>
          <w:rFonts w:ascii="Book Antiqua" w:hAnsi="Book Antiqua"/>
          <w:sz w:val="24"/>
          <w:szCs w:val="24"/>
          <w:lang w:val="es-DO"/>
        </w:rPr>
        <w:t>R</w:t>
      </w:r>
      <w:r w:rsidR="00D6605B">
        <w:rPr>
          <w:rFonts w:ascii="Book Antiqua" w:hAnsi="Book Antiqua"/>
          <w:sz w:val="24"/>
          <w:szCs w:val="24"/>
          <w:lang w:val="es-DO"/>
        </w:rPr>
        <w:t>-CAFTA</w:t>
      </w:r>
      <w:r w:rsidR="00C97630">
        <w:rPr>
          <w:rFonts w:ascii="Book Antiqua" w:hAnsi="Book Antiqua"/>
          <w:sz w:val="24"/>
          <w:szCs w:val="24"/>
          <w:lang w:val="es-DO"/>
        </w:rPr>
        <w:t xml:space="preserve"> que aplican para este año</w:t>
      </w:r>
      <w:r w:rsidR="00DA42B0">
        <w:rPr>
          <w:rFonts w:ascii="Book Antiqua" w:hAnsi="Book Antiqua"/>
          <w:sz w:val="24"/>
          <w:szCs w:val="24"/>
          <w:lang w:val="es-DO"/>
        </w:rPr>
        <w:t>,</w:t>
      </w:r>
      <w:r w:rsidR="00D6605B">
        <w:rPr>
          <w:rFonts w:ascii="Book Antiqua" w:hAnsi="Book Antiqua"/>
          <w:sz w:val="24"/>
          <w:szCs w:val="24"/>
          <w:lang w:val="es-DO"/>
        </w:rPr>
        <w:t xml:space="preserve"> en base a la tasa de venta del dólar estadounidense </w:t>
      </w:r>
      <w:r w:rsidR="00C97630" w:rsidRPr="00DA42B0">
        <w:rPr>
          <w:rFonts w:ascii="Book Antiqua" w:hAnsi="Book Antiqua"/>
          <w:sz w:val="24"/>
          <w:szCs w:val="24"/>
          <w:lang w:val="es-DO"/>
        </w:rPr>
        <w:t xml:space="preserve">de </w:t>
      </w:r>
      <w:r w:rsidR="00C97630" w:rsidRPr="00953BF5">
        <w:rPr>
          <w:rFonts w:ascii="Book Antiqua" w:hAnsi="Book Antiqua"/>
          <w:b/>
          <w:bCs/>
          <w:sz w:val="24"/>
          <w:szCs w:val="24"/>
          <w:lang w:val="es-DO"/>
        </w:rPr>
        <w:t>RD$</w:t>
      </w:r>
      <w:r w:rsidR="005F1227">
        <w:rPr>
          <w:rFonts w:ascii="Book Antiqua" w:hAnsi="Book Antiqua"/>
          <w:b/>
          <w:bCs/>
          <w:sz w:val="24"/>
          <w:szCs w:val="24"/>
          <w:lang w:val="es-DO"/>
        </w:rPr>
        <w:t>56.4142</w:t>
      </w:r>
      <w:r w:rsidR="00C97630" w:rsidRPr="00953BF5">
        <w:rPr>
          <w:rFonts w:ascii="Book Antiqua" w:hAnsi="Book Antiqua"/>
          <w:b/>
          <w:bCs/>
          <w:sz w:val="24"/>
          <w:szCs w:val="24"/>
          <w:lang w:val="es-DO"/>
        </w:rPr>
        <w:t>/US$</w:t>
      </w:r>
      <w:r w:rsidR="00C97630" w:rsidRPr="00DA42B0">
        <w:rPr>
          <w:rFonts w:ascii="Book Antiqua" w:hAnsi="Book Antiqua"/>
          <w:sz w:val="24"/>
          <w:szCs w:val="24"/>
          <w:lang w:val="es-DO"/>
        </w:rPr>
        <w:t>,</w:t>
      </w:r>
      <w:r w:rsidR="00C97630">
        <w:rPr>
          <w:rFonts w:ascii="Book Antiqua" w:hAnsi="Book Antiqua"/>
          <w:sz w:val="24"/>
          <w:szCs w:val="24"/>
          <w:lang w:val="es-DO"/>
        </w:rPr>
        <w:t xml:space="preserve"> </w:t>
      </w:r>
      <w:r w:rsidR="00DA42B0" w:rsidRPr="00DA42B0">
        <w:rPr>
          <w:rFonts w:ascii="Book Antiqua" w:hAnsi="Book Antiqua"/>
          <w:sz w:val="24"/>
          <w:szCs w:val="24"/>
          <w:lang w:val="es-DO"/>
        </w:rPr>
        <w:t xml:space="preserve">publicada por el Banco Central de la República Dominicana vía comunicación d/f </w:t>
      </w:r>
      <w:r w:rsidR="00D87747">
        <w:rPr>
          <w:rFonts w:ascii="Book Antiqua" w:hAnsi="Book Antiqua"/>
          <w:sz w:val="24"/>
          <w:szCs w:val="24"/>
          <w:lang w:val="es-DO"/>
        </w:rPr>
        <w:t>2.01.2023</w:t>
      </w:r>
      <w:r w:rsidR="00DA42B0" w:rsidRPr="00DA42B0">
        <w:rPr>
          <w:rFonts w:ascii="Book Antiqua" w:hAnsi="Book Antiqua"/>
          <w:sz w:val="24"/>
          <w:szCs w:val="24"/>
          <w:lang w:val="es-DO"/>
        </w:rPr>
        <w:t xml:space="preserve">, la cual sirvió de referencia hasta el </w:t>
      </w:r>
      <w:r w:rsidR="00D87747">
        <w:rPr>
          <w:rFonts w:ascii="Book Antiqua" w:hAnsi="Book Antiqua"/>
          <w:sz w:val="24"/>
          <w:szCs w:val="24"/>
          <w:lang w:val="es-DO"/>
        </w:rPr>
        <w:t xml:space="preserve">3 </w:t>
      </w:r>
      <w:r w:rsidR="00DA42B0" w:rsidRPr="00DA42B0">
        <w:rPr>
          <w:rFonts w:ascii="Book Antiqua" w:hAnsi="Book Antiqua"/>
          <w:sz w:val="24"/>
          <w:szCs w:val="24"/>
          <w:lang w:val="es-DO"/>
        </w:rPr>
        <w:t>de enero del 20</w:t>
      </w:r>
      <w:r w:rsidR="0085505F">
        <w:rPr>
          <w:rFonts w:ascii="Book Antiqua" w:hAnsi="Book Antiqua"/>
          <w:sz w:val="24"/>
          <w:szCs w:val="24"/>
          <w:lang w:val="es-DO"/>
        </w:rPr>
        <w:t>2</w:t>
      </w:r>
      <w:r w:rsidR="00D87747">
        <w:rPr>
          <w:rFonts w:ascii="Book Antiqua" w:hAnsi="Book Antiqua"/>
          <w:sz w:val="24"/>
          <w:szCs w:val="24"/>
          <w:lang w:val="es-DO"/>
        </w:rPr>
        <w:t>3</w:t>
      </w:r>
      <w:r w:rsidR="0085505F">
        <w:rPr>
          <w:rFonts w:ascii="Book Antiqua" w:hAnsi="Book Antiqua"/>
          <w:sz w:val="24"/>
          <w:szCs w:val="24"/>
          <w:lang w:val="es-DO"/>
        </w:rPr>
        <w:t>,</w:t>
      </w:r>
      <w:r w:rsidR="00DA42B0">
        <w:rPr>
          <w:rFonts w:ascii="Book Antiqua" w:hAnsi="Book Antiqua"/>
          <w:sz w:val="24"/>
          <w:szCs w:val="24"/>
          <w:lang w:val="es-DO"/>
        </w:rPr>
        <w:t xml:space="preserve"> son:</w:t>
      </w:r>
    </w:p>
    <w:p w14:paraId="79DF30BA" w14:textId="77777777" w:rsidR="00DA42B0" w:rsidRDefault="00DA42B0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p w14:paraId="0528D63B" w14:textId="216FDE2F" w:rsidR="00DA42B0" w:rsidRPr="00DA42B0" w:rsidRDefault="00DA42B0" w:rsidP="00DA42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DA42B0">
        <w:rPr>
          <w:rFonts w:ascii="Book Antiqua" w:hAnsi="Book Antiqua"/>
          <w:sz w:val="24"/>
          <w:szCs w:val="24"/>
          <w:lang w:val="es-DO"/>
        </w:rPr>
        <w:t xml:space="preserve">RD$ </w:t>
      </w:r>
      <w:r w:rsidR="00D87747">
        <w:rPr>
          <w:rFonts w:ascii="Book Antiqua" w:hAnsi="Book Antiqua"/>
          <w:sz w:val="24"/>
          <w:szCs w:val="24"/>
          <w:lang w:val="es-DO"/>
        </w:rPr>
        <w:t>5,208,103.00</w:t>
      </w:r>
      <w:r w:rsidRPr="00DA42B0">
        <w:rPr>
          <w:rFonts w:ascii="Book Antiqua" w:hAnsi="Book Antiqua"/>
          <w:sz w:val="24"/>
          <w:szCs w:val="24"/>
          <w:lang w:val="es-DO"/>
        </w:rPr>
        <w:t>, para bienes y servicios.</w:t>
      </w:r>
    </w:p>
    <w:p w14:paraId="481469DC" w14:textId="20B82CE5" w:rsidR="006632B1" w:rsidRPr="00DA42B0" w:rsidRDefault="00DA42B0" w:rsidP="00DA42B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DA42B0">
        <w:rPr>
          <w:rFonts w:ascii="Book Antiqua" w:hAnsi="Book Antiqua"/>
          <w:sz w:val="24"/>
          <w:szCs w:val="24"/>
          <w:lang w:val="es-DO"/>
        </w:rPr>
        <w:t>RD$</w:t>
      </w:r>
      <w:r w:rsidR="00CF1309">
        <w:rPr>
          <w:rFonts w:ascii="Book Antiqua" w:hAnsi="Book Antiqua"/>
          <w:sz w:val="24"/>
          <w:szCs w:val="24"/>
          <w:lang w:val="es-DO"/>
        </w:rPr>
        <w:t xml:space="preserve"> </w:t>
      </w:r>
      <w:r w:rsidR="00D87747">
        <w:rPr>
          <w:rFonts w:ascii="Book Antiqua" w:hAnsi="Book Antiqua"/>
          <w:sz w:val="24"/>
          <w:szCs w:val="24"/>
          <w:lang w:val="es-DO"/>
        </w:rPr>
        <w:t>396,704,654.00</w:t>
      </w:r>
      <w:r w:rsidRPr="00DA42B0">
        <w:rPr>
          <w:rFonts w:ascii="Book Antiqua" w:hAnsi="Book Antiqua"/>
          <w:sz w:val="24"/>
          <w:szCs w:val="24"/>
          <w:lang w:val="es-DO"/>
        </w:rPr>
        <w:t>, para obras.</w:t>
      </w:r>
    </w:p>
    <w:p w14:paraId="48662841" w14:textId="77777777" w:rsidR="006632B1" w:rsidRDefault="006632B1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p w14:paraId="117524FC" w14:textId="742E6113" w:rsidR="00E110F0" w:rsidRDefault="00AA71CF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>
        <w:rPr>
          <w:rFonts w:ascii="Book Antiqua" w:hAnsi="Book Antiqua"/>
          <w:sz w:val="24"/>
          <w:szCs w:val="24"/>
          <w:lang w:val="es-DO"/>
        </w:rPr>
        <w:t>Tomando como base estos insumos</w:t>
      </w:r>
      <w:r w:rsidR="00DA42B0">
        <w:rPr>
          <w:rFonts w:ascii="Book Antiqua" w:hAnsi="Book Antiqua"/>
          <w:sz w:val="24"/>
          <w:szCs w:val="24"/>
          <w:lang w:val="es-DO"/>
        </w:rPr>
        <w:t>, v</w:t>
      </w:r>
      <w:r w:rsidR="00953BF5">
        <w:rPr>
          <w:rFonts w:ascii="Book Antiqua" w:hAnsi="Book Antiqua"/>
          <w:sz w:val="24"/>
          <w:szCs w:val="24"/>
          <w:lang w:val="es-DO"/>
        </w:rPr>
        <w:t>i</w:t>
      </w:r>
      <w:r w:rsidR="00DA42B0">
        <w:rPr>
          <w:rFonts w:ascii="Book Antiqua" w:hAnsi="Book Antiqua"/>
          <w:sz w:val="24"/>
          <w:szCs w:val="24"/>
          <w:lang w:val="es-DO"/>
        </w:rPr>
        <w:t xml:space="preserve">mos que el </w:t>
      </w:r>
      <w:r w:rsidR="00E23B14">
        <w:rPr>
          <w:rFonts w:ascii="Book Antiqua" w:hAnsi="Book Antiqua"/>
          <w:sz w:val="24"/>
          <w:szCs w:val="24"/>
          <w:lang w:val="es-DO"/>
        </w:rPr>
        <w:t xml:space="preserve">monto </w:t>
      </w:r>
      <w:r w:rsidR="00DA42B0">
        <w:rPr>
          <w:rFonts w:ascii="Book Antiqua" w:hAnsi="Book Antiqua"/>
          <w:sz w:val="24"/>
          <w:szCs w:val="24"/>
          <w:lang w:val="es-DO"/>
        </w:rPr>
        <w:t>relativo a la contratación de bienes y servicios supera el umbral del D</w:t>
      </w:r>
      <w:r w:rsidR="005478E4">
        <w:rPr>
          <w:rFonts w:ascii="Book Antiqua" w:hAnsi="Book Antiqua"/>
          <w:sz w:val="24"/>
          <w:szCs w:val="24"/>
          <w:lang w:val="es-DO"/>
        </w:rPr>
        <w:t>R</w:t>
      </w:r>
      <w:r w:rsidR="00DA42B0">
        <w:rPr>
          <w:rFonts w:ascii="Book Antiqua" w:hAnsi="Book Antiqua"/>
          <w:sz w:val="24"/>
          <w:szCs w:val="24"/>
          <w:lang w:val="es-DO"/>
        </w:rPr>
        <w:t>-CAFTA, por lo que debe prevalecer este último para todas las modalidades afectadas, en este caso, Licitación Pública y Licitación Restringida. De igual forma, para establecer la diferencia entre ambas, se hace un pequeño ajuste porcentual.</w:t>
      </w:r>
      <w:r w:rsidR="00E110F0">
        <w:rPr>
          <w:rFonts w:ascii="Book Antiqua" w:hAnsi="Book Antiqua"/>
          <w:sz w:val="24"/>
          <w:szCs w:val="24"/>
          <w:lang w:val="es-DO"/>
        </w:rPr>
        <w:t xml:space="preserve"> En ese sentido, en estas modalidades, los umbrales son </w:t>
      </w:r>
      <w:r w:rsidR="00723B29">
        <w:rPr>
          <w:rFonts w:ascii="Book Antiqua" w:hAnsi="Book Antiqua"/>
          <w:sz w:val="24"/>
          <w:szCs w:val="24"/>
          <w:lang w:val="es-DO"/>
        </w:rPr>
        <w:t>menores</w:t>
      </w:r>
      <w:r w:rsidR="00E110F0">
        <w:rPr>
          <w:rFonts w:ascii="Book Antiqua" w:hAnsi="Book Antiqua"/>
          <w:sz w:val="24"/>
          <w:szCs w:val="24"/>
          <w:lang w:val="es-DO"/>
        </w:rPr>
        <w:t xml:space="preserve"> a los del año anterior</w:t>
      </w:r>
      <w:r w:rsidR="00723B29">
        <w:rPr>
          <w:rFonts w:ascii="Book Antiqua" w:hAnsi="Book Antiqua"/>
          <w:sz w:val="24"/>
          <w:szCs w:val="24"/>
          <w:lang w:val="es-DO"/>
        </w:rPr>
        <w:t>, cuya tasa del dólar fue de US$57.5451</w:t>
      </w:r>
      <w:r w:rsidR="00E110F0">
        <w:rPr>
          <w:rFonts w:ascii="Book Antiqua" w:hAnsi="Book Antiqua"/>
          <w:sz w:val="24"/>
          <w:szCs w:val="24"/>
          <w:lang w:val="es-DO"/>
        </w:rPr>
        <w:t xml:space="preserve">. </w:t>
      </w:r>
    </w:p>
    <w:p w14:paraId="077FF90B" w14:textId="77777777" w:rsidR="005C0AF2" w:rsidRDefault="005C0AF2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p w14:paraId="450C2B72" w14:textId="645EAA0C" w:rsidR="00E110F0" w:rsidRDefault="003A3106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>
        <w:rPr>
          <w:rFonts w:ascii="Book Antiqua" w:hAnsi="Book Antiqua"/>
          <w:sz w:val="24"/>
          <w:szCs w:val="24"/>
          <w:lang w:val="es-DO"/>
        </w:rPr>
        <w:t>Por otro lado</w:t>
      </w:r>
      <w:r w:rsidR="00DA42B0">
        <w:rPr>
          <w:rFonts w:ascii="Book Antiqua" w:hAnsi="Book Antiqua"/>
          <w:sz w:val="24"/>
          <w:szCs w:val="24"/>
          <w:lang w:val="es-DO"/>
        </w:rPr>
        <w:t xml:space="preserve">, los umbrales que no </w:t>
      </w:r>
      <w:r>
        <w:rPr>
          <w:rFonts w:ascii="Book Antiqua" w:hAnsi="Book Antiqua"/>
          <w:sz w:val="24"/>
          <w:szCs w:val="24"/>
          <w:lang w:val="es-DO"/>
        </w:rPr>
        <w:t>superan e</w:t>
      </w:r>
      <w:r w:rsidR="00DA42B0">
        <w:rPr>
          <w:rFonts w:ascii="Book Antiqua" w:hAnsi="Book Antiqua"/>
          <w:sz w:val="24"/>
          <w:szCs w:val="24"/>
          <w:lang w:val="es-DO"/>
        </w:rPr>
        <w:t>l D</w:t>
      </w:r>
      <w:r w:rsidR="005478E4">
        <w:rPr>
          <w:rFonts w:ascii="Book Antiqua" w:hAnsi="Book Antiqua"/>
          <w:sz w:val="24"/>
          <w:szCs w:val="24"/>
          <w:lang w:val="es-DO"/>
        </w:rPr>
        <w:t>R</w:t>
      </w:r>
      <w:r w:rsidR="00DA42B0">
        <w:rPr>
          <w:rFonts w:ascii="Book Antiqua" w:hAnsi="Book Antiqua"/>
          <w:sz w:val="24"/>
          <w:szCs w:val="24"/>
          <w:lang w:val="es-DO"/>
        </w:rPr>
        <w:t xml:space="preserve">-CAFTA </w:t>
      </w:r>
      <w:r>
        <w:rPr>
          <w:rFonts w:ascii="Book Antiqua" w:hAnsi="Book Antiqua"/>
          <w:sz w:val="24"/>
          <w:szCs w:val="24"/>
          <w:lang w:val="es-DO"/>
        </w:rPr>
        <w:t xml:space="preserve">permanecen conforme a la tabla, </w:t>
      </w:r>
      <w:r w:rsidR="00E110F0">
        <w:rPr>
          <w:rFonts w:ascii="Book Antiqua" w:hAnsi="Book Antiqua"/>
          <w:sz w:val="24"/>
          <w:szCs w:val="24"/>
          <w:lang w:val="es-DO"/>
        </w:rPr>
        <w:t>es decir, basados en</w:t>
      </w:r>
      <w:r w:rsidR="00E23B14">
        <w:rPr>
          <w:rFonts w:ascii="Book Antiqua" w:hAnsi="Book Antiqua"/>
          <w:sz w:val="24"/>
          <w:szCs w:val="24"/>
          <w:lang w:val="es-DO"/>
        </w:rPr>
        <w:t xml:space="preserve"> </w:t>
      </w:r>
      <w:r w:rsidR="00DA42B0">
        <w:rPr>
          <w:rFonts w:ascii="Book Antiqua" w:hAnsi="Book Antiqua"/>
          <w:sz w:val="24"/>
          <w:szCs w:val="24"/>
          <w:lang w:val="es-DO"/>
        </w:rPr>
        <w:t xml:space="preserve">el </w:t>
      </w:r>
      <w:r w:rsidR="00DA42B0" w:rsidRPr="00FC2175">
        <w:rPr>
          <w:rFonts w:ascii="Book Antiqua" w:hAnsi="Book Antiqua"/>
          <w:sz w:val="24"/>
          <w:szCs w:val="24"/>
          <w:lang w:val="es-DO"/>
        </w:rPr>
        <w:t>Presupuesto de Ingresos Corrientes</w:t>
      </w:r>
      <w:r w:rsidR="00DA42B0">
        <w:rPr>
          <w:rFonts w:ascii="Book Antiqua" w:hAnsi="Book Antiqua"/>
          <w:sz w:val="24"/>
          <w:szCs w:val="24"/>
          <w:lang w:val="es-DO"/>
        </w:rPr>
        <w:t xml:space="preserve"> </w:t>
      </w:r>
      <w:r w:rsidR="00DA42B0" w:rsidRPr="00FC2175">
        <w:rPr>
          <w:rFonts w:ascii="Book Antiqua" w:hAnsi="Book Antiqua"/>
          <w:sz w:val="24"/>
          <w:szCs w:val="24"/>
          <w:lang w:val="es-DO"/>
        </w:rPr>
        <w:t>del Gobierno Central, aprobado por el Congreso de la República</w:t>
      </w:r>
      <w:r w:rsidR="00DF105A">
        <w:rPr>
          <w:rFonts w:ascii="Book Antiqua" w:hAnsi="Book Antiqua"/>
          <w:sz w:val="24"/>
          <w:szCs w:val="24"/>
          <w:lang w:val="es-DO"/>
        </w:rPr>
        <w:t xml:space="preserve"> que, durante los últimos tres años, ascendió a los siguientes valores:</w:t>
      </w:r>
      <w:r w:rsidR="00DA42B0">
        <w:rPr>
          <w:rFonts w:ascii="Book Antiqua" w:hAnsi="Book Antiqua"/>
          <w:sz w:val="24"/>
          <w:szCs w:val="24"/>
          <w:lang w:val="es-DO"/>
        </w:rPr>
        <w:t xml:space="preserve"> </w:t>
      </w:r>
    </w:p>
    <w:p w14:paraId="7D117968" w14:textId="77777777" w:rsidR="00DF105A" w:rsidRDefault="00DF105A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81"/>
        <w:gridCol w:w="2817"/>
      </w:tblGrid>
      <w:tr w:rsidR="00DF105A" w14:paraId="7091F7F2" w14:textId="77777777" w:rsidTr="00DF105A">
        <w:trPr>
          <w:jc w:val="center"/>
        </w:trPr>
        <w:tc>
          <w:tcPr>
            <w:tcW w:w="2281" w:type="dxa"/>
            <w:shd w:val="clear" w:color="auto" w:fill="D0CECE" w:themeFill="background2" w:themeFillShade="E6"/>
          </w:tcPr>
          <w:p w14:paraId="4FF30042" w14:textId="408A4E06" w:rsidR="00DF105A" w:rsidRDefault="00DF105A" w:rsidP="00DF105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s-DO"/>
              </w:rPr>
            </w:pPr>
            <w:r>
              <w:rPr>
                <w:rFonts w:ascii="Book Antiqua" w:hAnsi="Book Antiqua"/>
                <w:sz w:val="24"/>
                <w:szCs w:val="24"/>
                <w:lang w:val="es-DO"/>
              </w:rPr>
              <w:t>Año</w:t>
            </w:r>
          </w:p>
        </w:tc>
        <w:tc>
          <w:tcPr>
            <w:tcW w:w="2817" w:type="dxa"/>
            <w:shd w:val="clear" w:color="auto" w:fill="D0CECE" w:themeFill="background2" w:themeFillShade="E6"/>
          </w:tcPr>
          <w:p w14:paraId="385DD532" w14:textId="4F0DD630" w:rsidR="00DF105A" w:rsidRDefault="00DF105A" w:rsidP="00DF105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  <w:lang w:val="es-DO"/>
              </w:rPr>
            </w:pPr>
            <w:r>
              <w:rPr>
                <w:rFonts w:ascii="Book Antiqua" w:hAnsi="Book Antiqua"/>
                <w:sz w:val="24"/>
                <w:szCs w:val="24"/>
                <w:lang w:val="es-DO"/>
              </w:rPr>
              <w:t>Monto</w:t>
            </w:r>
          </w:p>
        </w:tc>
      </w:tr>
      <w:tr w:rsidR="00DF105A" w14:paraId="1BFDE805" w14:textId="77777777" w:rsidTr="00DF105A">
        <w:trPr>
          <w:jc w:val="center"/>
        </w:trPr>
        <w:tc>
          <w:tcPr>
            <w:tcW w:w="2281" w:type="dxa"/>
          </w:tcPr>
          <w:p w14:paraId="05FA1298" w14:textId="2D320C3C" w:rsidR="00DF105A" w:rsidRDefault="00DF105A" w:rsidP="00FC2175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s-DO"/>
              </w:rPr>
            </w:pPr>
            <w:r>
              <w:rPr>
                <w:rFonts w:ascii="Book Antiqua" w:hAnsi="Book Antiqua"/>
                <w:sz w:val="24"/>
                <w:szCs w:val="24"/>
                <w:lang w:val="es-DO"/>
              </w:rPr>
              <w:t>Presupuesto 2021</w:t>
            </w:r>
          </w:p>
        </w:tc>
        <w:tc>
          <w:tcPr>
            <w:tcW w:w="2817" w:type="dxa"/>
          </w:tcPr>
          <w:p w14:paraId="65A8067E" w14:textId="3D23D61E" w:rsidR="00DF105A" w:rsidRDefault="00DF105A" w:rsidP="00FC2175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s-DO"/>
              </w:rPr>
            </w:pPr>
            <w:r>
              <w:rPr>
                <w:rFonts w:ascii="Book Antiqua" w:hAnsi="Book Antiqua"/>
                <w:sz w:val="24"/>
                <w:szCs w:val="24"/>
                <w:lang w:val="es-DO"/>
              </w:rPr>
              <w:t>RD$</w:t>
            </w:r>
            <w:r w:rsidRPr="00FC2175">
              <w:rPr>
                <w:rFonts w:ascii="Book Antiqua" w:hAnsi="Book Antiqua"/>
                <w:sz w:val="24"/>
                <w:szCs w:val="24"/>
                <w:lang w:val="es-DO"/>
              </w:rPr>
              <w:t>657,166,229,358.00</w:t>
            </w:r>
          </w:p>
        </w:tc>
      </w:tr>
      <w:tr w:rsidR="00D87747" w14:paraId="3E66BF89" w14:textId="77777777" w:rsidTr="00DF105A">
        <w:trPr>
          <w:jc w:val="center"/>
        </w:trPr>
        <w:tc>
          <w:tcPr>
            <w:tcW w:w="2281" w:type="dxa"/>
          </w:tcPr>
          <w:p w14:paraId="72A37C34" w14:textId="2417E122" w:rsidR="00D87747" w:rsidRDefault="00D87747" w:rsidP="00D8774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s-DO"/>
              </w:rPr>
            </w:pPr>
            <w:r>
              <w:rPr>
                <w:rFonts w:ascii="Book Antiqua" w:hAnsi="Book Antiqua"/>
                <w:sz w:val="24"/>
                <w:szCs w:val="24"/>
                <w:lang w:val="es-DO"/>
              </w:rPr>
              <w:t>Presupuesto 2022</w:t>
            </w:r>
          </w:p>
        </w:tc>
        <w:tc>
          <w:tcPr>
            <w:tcW w:w="2817" w:type="dxa"/>
          </w:tcPr>
          <w:p w14:paraId="04E0C809" w14:textId="0F3BBF47" w:rsidR="00D87747" w:rsidRDefault="00D87747" w:rsidP="00D8774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s-DO"/>
              </w:rPr>
            </w:pPr>
            <w:r>
              <w:rPr>
                <w:rFonts w:ascii="Book Antiqua" w:hAnsi="Book Antiqua"/>
                <w:sz w:val="24"/>
                <w:szCs w:val="24"/>
                <w:lang w:val="es-DO"/>
              </w:rPr>
              <w:t>RD$</w:t>
            </w:r>
            <w:r w:rsidRPr="00D87747">
              <w:rPr>
                <w:rFonts w:ascii="Book Antiqua" w:hAnsi="Book Antiqua"/>
                <w:sz w:val="24"/>
                <w:szCs w:val="24"/>
                <w:lang w:val="es-DO"/>
              </w:rPr>
              <w:t>824</w:t>
            </w:r>
            <w:r>
              <w:rPr>
                <w:rFonts w:ascii="Book Antiqua" w:hAnsi="Book Antiqua"/>
                <w:sz w:val="24"/>
                <w:szCs w:val="24"/>
                <w:lang w:val="es-DO"/>
              </w:rPr>
              <w:t>,</w:t>
            </w:r>
            <w:r w:rsidRPr="00D87747">
              <w:rPr>
                <w:rFonts w:ascii="Book Antiqua" w:hAnsi="Book Antiqua"/>
                <w:sz w:val="24"/>
                <w:szCs w:val="24"/>
                <w:lang w:val="es-DO"/>
              </w:rPr>
              <w:t>909</w:t>
            </w:r>
            <w:r>
              <w:rPr>
                <w:rFonts w:ascii="Book Antiqua" w:hAnsi="Book Antiqua"/>
                <w:sz w:val="24"/>
                <w:szCs w:val="24"/>
                <w:lang w:val="es-DO"/>
              </w:rPr>
              <w:t>,</w:t>
            </w:r>
            <w:r w:rsidRPr="00D87747">
              <w:rPr>
                <w:rFonts w:ascii="Book Antiqua" w:hAnsi="Book Antiqua"/>
                <w:sz w:val="24"/>
                <w:szCs w:val="24"/>
                <w:lang w:val="es-DO"/>
              </w:rPr>
              <w:t>284</w:t>
            </w:r>
            <w:r>
              <w:rPr>
                <w:rFonts w:ascii="Book Antiqua" w:hAnsi="Book Antiqua"/>
                <w:sz w:val="24"/>
                <w:szCs w:val="24"/>
                <w:lang w:val="es-DO"/>
              </w:rPr>
              <w:t>,</w:t>
            </w:r>
            <w:r w:rsidRPr="00D87747">
              <w:rPr>
                <w:rFonts w:ascii="Book Antiqua" w:hAnsi="Book Antiqua"/>
                <w:sz w:val="24"/>
                <w:szCs w:val="24"/>
                <w:lang w:val="es-DO"/>
              </w:rPr>
              <w:t>943</w:t>
            </w:r>
          </w:p>
        </w:tc>
      </w:tr>
      <w:tr w:rsidR="009D4A63" w14:paraId="410FA632" w14:textId="77777777" w:rsidTr="00DF105A">
        <w:trPr>
          <w:jc w:val="center"/>
        </w:trPr>
        <w:tc>
          <w:tcPr>
            <w:tcW w:w="2281" w:type="dxa"/>
          </w:tcPr>
          <w:p w14:paraId="586EFEB3" w14:textId="1A8EC05B" w:rsidR="009D4A63" w:rsidRDefault="009D4A63" w:rsidP="00D8774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s-DO"/>
              </w:rPr>
            </w:pPr>
            <w:r>
              <w:rPr>
                <w:rFonts w:ascii="Book Antiqua" w:hAnsi="Book Antiqua"/>
                <w:sz w:val="24"/>
                <w:szCs w:val="24"/>
                <w:lang w:val="es-DO"/>
              </w:rPr>
              <w:t>Presupuesto 2023</w:t>
            </w:r>
          </w:p>
        </w:tc>
        <w:tc>
          <w:tcPr>
            <w:tcW w:w="2817" w:type="dxa"/>
          </w:tcPr>
          <w:p w14:paraId="352E0201" w14:textId="615E32E1" w:rsidR="009D4A63" w:rsidRDefault="009D4A63" w:rsidP="00D8774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  <w:lang w:val="es-DO"/>
              </w:rPr>
            </w:pPr>
            <w:r w:rsidRPr="009D4A63">
              <w:rPr>
                <w:rFonts w:ascii="Book Antiqua" w:hAnsi="Book Antiqua"/>
                <w:sz w:val="24"/>
                <w:szCs w:val="24"/>
                <w:lang w:val="es-DO"/>
              </w:rPr>
              <w:t>RD$1,028,757,946,347.00</w:t>
            </w:r>
          </w:p>
        </w:tc>
      </w:tr>
    </w:tbl>
    <w:p w14:paraId="7A4D601A" w14:textId="77777777" w:rsidR="00DF105A" w:rsidRDefault="00DF105A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p w14:paraId="7B27F71C" w14:textId="5CDCFCC6" w:rsidR="00DF105A" w:rsidRDefault="00DF105A" w:rsidP="00DF105A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>
        <w:rPr>
          <w:rFonts w:ascii="Book Antiqua" w:hAnsi="Book Antiqua"/>
          <w:sz w:val="24"/>
          <w:szCs w:val="24"/>
          <w:lang w:val="es-DO"/>
        </w:rPr>
        <w:t xml:space="preserve">En ese sentido, podemos </w:t>
      </w:r>
      <w:r w:rsidRPr="002243E9">
        <w:rPr>
          <w:rFonts w:ascii="Book Antiqua" w:hAnsi="Book Antiqua"/>
          <w:sz w:val="24"/>
          <w:szCs w:val="24"/>
          <w:lang w:val="es-DO"/>
        </w:rPr>
        <w:t>ver que el Presupuesto de Ingresos Corrientes del Gobierno Central aprobado para el 202</w:t>
      </w:r>
      <w:r w:rsidR="00A130F1" w:rsidRPr="002243E9">
        <w:rPr>
          <w:rFonts w:ascii="Book Antiqua" w:hAnsi="Book Antiqua"/>
          <w:sz w:val="24"/>
          <w:szCs w:val="24"/>
          <w:lang w:val="es-DO"/>
        </w:rPr>
        <w:t>3</w:t>
      </w:r>
      <w:r w:rsidRPr="002243E9">
        <w:rPr>
          <w:rFonts w:ascii="Book Antiqua" w:hAnsi="Book Antiqua"/>
          <w:sz w:val="24"/>
          <w:szCs w:val="24"/>
          <w:lang w:val="es-DO"/>
        </w:rPr>
        <w:t xml:space="preserve">, es </w:t>
      </w:r>
      <w:r w:rsidR="00D87747" w:rsidRPr="002243E9">
        <w:rPr>
          <w:rFonts w:ascii="Book Antiqua" w:hAnsi="Book Antiqua"/>
          <w:sz w:val="24"/>
          <w:szCs w:val="24"/>
          <w:lang w:val="es-DO"/>
        </w:rPr>
        <w:t>mayor</w:t>
      </w:r>
      <w:r w:rsidRPr="002243E9">
        <w:rPr>
          <w:rFonts w:ascii="Book Antiqua" w:hAnsi="Book Antiqua"/>
          <w:sz w:val="24"/>
          <w:szCs w:val="24"/>
          <w:lang w:val="es-DO"/>
        </w:rPr>
        <w:t xml:space="preserve"> a los montos fijados para años anteriores.</w:t>
      </w:r>
      <w:r>
        <w:rPr>
          <w:rFonts w:ascii="Book Antiqua" w:hAnsi="Book Antiqua"/>
          <w:sz w:val="24"/>
          <w:szCs w:val="24"/>
          <w:lang w:val="es-DO"/>
        </w:rPr>
        <w:t xml:space="preserve"> </w:t>
      </w:r>
    </w:p>
    <w:p w14:paraId="7A852D6A" w14:textId="77777777" w:rsidR="00DF105A" w:rsidRDefault="00DF105A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p w14:paraId="0AF99774" w14:textId="5891BB9A" w:rsidR="002153BE" w:rsidRDefault="009C3164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 w:rsidRPr="002243E9">
        <w:rPr>
          <w:rFonts w:ascii="Book Antiqua" w:hAnsi="Book Antiqua"/>
          <w:sz w:val="24"/>
          <w:szCs w:val="24"/>
          <w:lang w:val="es-DO"/>
        </w:rPr>
        <w:t xml:space="preserve">Este cambio </w:t>
      </w:r>
      <w:r w:rsidR="00DA6DD7" w:rsidRPr="002243E9">
        <w:rPr>
          <w:rFonts w:ascii="Book Antiqua" w:hAnsi="Book Antiqua"/>
          <w:sz w:val="24"/>
          <w:szCs w:val="24"/>
          <w:lang w:val="es-DO"/>
        </w:rPr>
        <w:t>al alta</w:t>
      </w:r>
      <w:r w:rsidRPr="002243E9">
        <w:rPr>
          <w:rFonts w:ascii="Book Antiqua" w:hAnsi="Book Antiqua"/>
          <w:sz w:val="24"/>
          <w:szCs w:val="24"/>
          <w:lang w:val="es-DO"/>
        </w:rPr>
        <w:t xml:space="preserve"> del presupuesto </w:t>
      </w:r>
      <w:r w:rsidR="00DA42B0" w:rsidRPr="002243E9">
        <w:rPr>
          <w:rFonts w:ascii="Book Antiqua" w:hAnsi="Book Antiqua"/>
          <w:sz w:val="24"/>
          <w:szCs w:val="24"/>
          <w:lang w:val="es-DO"/>
        </w:rPr>
        <w:t>obliga a que</w:t>
      </w:r>
      <w:r w:rsidR="00AE1F2B" w:rsidRPr="002243E9">
        <w:rPr>
          <w:rFonts w:ascii="Book Antiqua" w:hAnsi="Book Antiqua"/>
          <w:sz w:val="24"/>
          <w:szCs w:val="24"/>
          <w:lang w:val="es-DO"/>
        </w:rPr>
        <w:t xml:space="preserve"> los umbrales de</w:t>
      </w:r>
      <w:r w:rsidR="0006207A" w:rsidRPr="002243E9">
        <w:rPr>
          <w:rFonts w:ascii="Book Antiqua" w:hAnsi="Book Antiqua"/>
          <w:sz w:val="24"/>
          <w:szCs w:val="24"/>
          <w:lang w:val="es-DO"/>
        </w:rPr>
        <w:t>l presente</w:t>
      </w:r>
      <w:r w:rsidR="00AE1F2B" w:rsidRPr="002243E9">
        <w:rPr>
          <w:rFonts w:ascii="Book Antiqua" w:hAnsi="Book Antiqua"/>
          <w:sz w:val="24"/>
          <w:szCs w:val="24"/>
          <w:lang w:val="es-DO"/>
        </w:rPr>
        <w:t xml:space="preserve"> año</w:t>
      </w:r>
      <w:r w:rsidR="00723B29" w:rsidRPr="002243E9">
        <w:rPr>
          <w:rFonts w:ascii="Book Antiqua" w:hAnsi="Book Antiqua"/>
          <w:sz w:val="24"/>
          <w:szCs w:val="24"/>
          <w:lang w:val="es-DO"/>
        </w:rPr>
        <w:t xml:space="preserve"> </w:t>
      </w:r>
      <w:r w:rsidR="00DA6DD7" w:rsidRPr="002243E9">
        <w:rPr>
          <w:rFonts w:ascii="Book Antiqua" w:hAnsi="Book Antiqua"/>
          <w:sz w:val="24"/>
          <w:szCs w:val="24"/>
          <w:lang w:val="es-DO"/>
        </w:rPr>
        <w:t>superen</w:t>
      </w:r>
      <w:r w:rsidR="00AE1F2B" w:rsidRPr="002243E9">
        <w:rPr>
          <w:rFonts w:ascii="Book Antiqua" w:hAnsi="Book Antiqua"/>
          <w:sz w:val="24"/>
          <w:szCs w:val="24"/>
          <w:lang w:val="es-DO"/>
        </w:rPr>
        <w:t xml:space="preserve"> </w:t>
      </w:r>
      <w:r w:rsidR="00723B29" w:rsidRPr="002243E9">
        <w:rPr>
          <w:rFonts w:ascii="Book Antiqua" w:hAnsi="Book Antiqua"/>
          <w:sz w:val="24"/>
          <w:szCs w:val="24"/>
          <w:lang w:val="es-DO"/>
        </w:rPr>
        <w:t xml:space="preserve">a los valores </w:t>
      </w:r>
      <w:r w:rsidR="00AE1F2B" w:rsidRPr="002243E9">
        <w:rPr>
          <w:rFonts w:ascii="Book Antiqua" w:hAnsi="Book Antiqua"/>
          <w:sz w:val="24"/>
          <w:szCs w:val="24"/>
          <w:lang w:val="es-DO"/>
        </w:rPr>
        <w:t>de</w:t>
      </w:r>
      <w:r w:rsidR="00DA42B0" w:rsidRPr="002243E9">
        <w:rPr>
          <w:rFonts w:ascii="Book Antiqua" w:hAnsi="Book Antiqua"/>
          <w:sz w:val="24"/>
          <w:szCs w:val="24"/>
          <w:lang w:val="es-DO"/>
        </w:rPr>
        <w:t xml:space="preserve"> </w:t>
      </w:r>
      <w:r w:rsidR="00AE1F2B" w:rsidRPr="002243E9">
        <w:rPr>
          <w:rFonts w:ascii="Book Antiqua" w:hAnsi="Book Antiqua"/>
          <w:sz w:val="24"/>
          <w:szCs w:val="24"/>
          <w:lang w:val="es-DO"/>
        </w:rPr>
        <w:t>l</w:t>
      </w:r>
      <w:r w:rsidR="00DA42B0" w:rsidRPr="002243E9">
        <w:rPr>
          <w:rFonts w:ascii="Book Antiqua" w:hAnsi="Book Antiqua"/>
          <w:sz w:val="24"/>
          <w:szCs w:val="24"/>
          <w:lang w:val="es-DO"/>
        </w:rPr>
        <w:t>os</w:t>
      </w:r>
      <w:r w:rsidR="00AE1F2B" w:rsidRPr="002243E9">
        <w:rPr>
          <w:rFonts w:ascii="Book Antiqua" w:hAnsi="Book Antiqua"/>
          <w:sz w:val="24"/>
          <w:szCs w:val="24"/>
          <w:lang w:val="es-DO"/>
        </w:rPr>
        <w:t xml:space="preserve"> año</w:t>
      </w:r>
      <w:r w:rsidR="00DA42B0" w:rsidRPr="002243E9">
        <w:rPr>
          <w:rFonts w:ascii="Book Antiqua" w:hAnsi="Book Antiqua"/>
          <w:sz w:val="24"/>
          <w:szCs w:val="24"/>
          <w:lang w:val="es-DO"/>
        </w:rPr>
        <w:t>s</w:t>
      </w:r>
      <w:r w:rsidR="00AE1F2B" w:rsidRPr="002243E9">
        <w:rPr>
          <w:rFonts w:ascii="Book Antiqua" w:hAnsi="Book Antiqua"/>
          <w:sz w:val="24"/>
          <w:szCs w:val="24"/>
          <w:lang w:val="es-DO"/>
        </w:rPr>
        <w:t xml:space="preserve"> anterior</w:t>
      </w:r>
      <w:r w:rsidR="00DA42B0" w:rsidRPr="002243E9">
        <w:rPr>
          <w:rFonts w:ascii="Book Antiqua" w:hAnsi="Book Antiqua"/>
          <w:sz w:val="24"/>
          <w:szCs w:val="24"/>
          <w:lang w:val="es-DO"/>
        </w:rPr>
        <w:t>es</w:t>
      </w:r>
      <w:r w:rsidR="006632B1" w:rsidRPr="002243E9">
        <w:rPr>
          <w:rFonts w:ascii="Book Antiqua" w:hAnsi="Book Antiqua"/>
          <w:sz w:val="24"/>
          <w:szCs w:val="24"/>
          <w:lang w:val="es-DO"/>
        </w:rPr>
        <w:t xml:space="preserve">, en aquellas modalidades que no </w:t>
      </w:r>
      <w:r w:rsidR="002428DF" w:rsidRPr="002243E9">
        <w:rPr>
          <w:rFonts w:ascii="Book Antiqua" w:hAnsi="Book Antiqua"/>
          <w:sz w:val="24"/>
          <w:szCs w:val="24"/>
          <w:lang w:val="es-DO"/>
        </w:rPr>
        <w:t>sobrepasan</w:t>
      </w:r>
      <w:r w:rsidR="006632B1" w:rsidRPr="002243E9">
        <w:rPr>
          <w:rFonts w:ascii="Book Antiqua" w:hAnsi="Book Antiqua"/>
          <w:sz w:val="24"/>
          <w:szCs w:val="24"/>
          <w:lang w:val="es-DO"/>
        </w:rPr>
        <w:t xml:space="preserve"> el umbral del DR-CAFTA</w:t>
      </w:r>
      <w:r w:rsidR="00A130F1" w:rsidRPr="002243E9">
        <w:rPr>
          <w:rFonts w:ascii="Book Antiqua" w:hAnsi="Book Antiqua"/>
          <w:sz w:val="24"/>
          <w:szCs w:val="24"/>
          <w:lang w:val="es-DO"/>
        </w:rPr>
        <w:t>,</w:t>
      </w:r>
      <w:r w:rsidR="005E21B0" w:rsidRPr="002243E9">
        <w:rPr>
          <w:rFonts w:ascii="Book Antiqua" w:hAnsi="Book Antiqua"/>
          <w:sz w:val="24"/>
          <w:szCs w:val="24"/>
          <w:lang w:val="es-DO"/>
        </w:rPr>
        <w:t xml:space="preserve"> </w:t>
      </w:r>
      <w:r w:rsidR="002153BE" w:rsidRPr="002243E9">
        <w:rPr>
          <w:rFonts w:ascii="Book Antiqua" w:hAnsi="Book Antiqua"/>
          <w:sz w:val="24"/>
          <w:szCs w:val="24"/>
          <w:lang w:val="es-DO"/>
        </w:rPr>
        <w:t>como podemos apreciar a continuación</w:t>
      </w:r>
      <w:r w:rsidR="002428DF" w:rsidRPr="002243E9">
        <w:rPr>
          <w:rFonts w:ascii="Book Antiqua" w:hAnsi="Book Antiqua"/>
          <w:sz w:val="24"/>
          <w:szCs w:val="24"/>
          <w:lang w:val="es-DO"/>
        </w:rPr>
        <w:t xml:space="preserve"> tomando como ejemplo el procedimiento de Licitación Pública de obras</w:t>
      </w:r>
      <w:r w:rsidR="002153BE" w:rsidRPr="002243E9">
        <w:rPr>
          <w:rFonts w:ascii="Book Antiqua" w:hAnsi="Book Antiqua"/>
          <w:sz w:val="24"/>
          <w:szCs w:val="24"/>
          <w:lang w:val="es-DO"/>
        </w:rPr>
        <w:t>:</w:t>
      </w:r>
    </w:p>
    <w:p w14:paraId="111F3112" w14:textId="153CC008" w:rsidR="004776C9" w:rsidRDefault="004776C9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tbl>
      <w:tblPr>
        <w:tblStyle w:val="Tablaconcuadrcula"/>
        <w:tblW w:w="9351" w:type="dxa"/>
        <w:jc w:val="center"/>
        <w:tblLook w:val="04A0" w:firstRow="1" w:lastRow="0" w:firstColumn="1" w:lastColumn="0" w:noHBand="0" w:noVBand="1"/>
      </w:tblPr>
      <w:tblGrid>
        <w:gridCol w:w="846"/>
        <w:gridCol w:w="2268"/>
        <w:gridCol w:w="3969"/>
        <w:gridCol w:w="2268"/>
      </w:tblGrid>
      <w:tr w:rsidR="00AA71CF" w:rsidRPr="00D80942" w14:paraId="0C30B4C0" w14:textId="77777777" w:rsidTr="00D80942">
        <w:trPr>
          <w:jc w:val="center"/>
        </w:trPr>
        <w:tc>
          <w:tcPr>
            <w:tcW w:w="846" w:type="dxa"/>
            <w:shd w:val="clear" w:color="auto" w:fill="D0CECE" w:themeFill="background2" w:themeFillShade="E6"/>
          </w:tcPr>
          <w:p w14:paraId="3D71498D" w14:textId="2933F8D8" w:rsidR="00AA71CF" w:rsidRPr="00D80942" w:rsidRDefault="00AA71CF" w:rsidP="00FC2175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  <w:lang w:val="es-DO"/>
              </w:rPr>
            </w:pPr>
            <w:r w:rsidRPr="00D80942">
              <w:rPr>
                <w:rFonts w:ascii="Book Antiqua" w:hAnsi="Book Antiqua"/>
                <w:sz w:val="21"/>
                <w:szCs w:val="21"/>
                <w:lang w:val="es-DO"/>
              </w:rPr>
              <w:t>Año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E1F8755" w14:textId="68BC4E0F" w:rsidR="00AA71CF" w:rsidRPr="00D80942" w:rsidRDefault="00AA71CF" w:rsidP="00FC2175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  <w:lang w:val="es-DO"/>
              </w:rPr>
            </w:pPr>
            <w:r w:rsidRPr="00D80942">
              <w:rPr>
                <w:rFonts w:ascii="Book Antiqua" w:hAnsi="Book Antiqua"/>
                <w:sz w:val="21"/>
                <w:szCs w:val="21"/>
                <w:lang w:val="es-DO"/>
              </w:rPr>
              <w:t>Cálculo de la ley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5A978AF0" w14:textId="49C3B83F" w:rsidR="00AA71CF" w:rsidRPr="00D80942" w:rsidRDefault="00AA71CF" w:rsidP="00FC2175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  <w:lang w:val="es-DO"/>
              </w:rPr>
            </w:pPr>
            <w:r w:rsidRPr="00D80942">
              <w:rPr>
                <w:rFonts w:ascii="Book Antiqua" w:hAnsi="Book Antiqua"/>
                <w:sz w:val="21"/>
                <w:szCs w:val="21"/>
                <w:lang w:val="es-DO"/>
              </w:rPr>
              <w:t>Conversión umbral del D</w:t>
            </w:r>
            <w:r w:rsidR="005478E4">
              <w:rPr>
                <w:rFonts w:ascii="Book Antiqua" w:hAnsi="Book Antiqua"/>
                <w:sz w:val="21"/>
                <w:szCs w:val="21"/>
                <w:lang w:val="es-DO"/>
              </w:rPr>
              <w:t>R</w:t>
            </w:r>
            <w:r w:rsidRPr="00D80942">
              <w:rPr>
                <w:rFonts w:ascii="Book Antiqua" w:hAnsi="Book Antiqua"/>
                <w:sz w:val="21"/>
                <w:szCs w:val="21"/>
                <w:lang w:val="es-DO"/>
              </w:rPr>
              <w:t xml:space="preserve">-CAFTA 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2BA08D6" w14:textId="2217166F" w:rsidR="00AA71CF" w:rsidRPr="00D80942" w:rsidRDefault="00AA71CF" w:rsidP="00FC2175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  <w:lang w:val="es-DO"/>
              </w:rPr>
            </w:pPr>
            <w:r w:rsidRPr="00D80942">
              <w:rPr>
                <w:rFonts w:ascii="Book Antiqua" w:hAnsi="Book Antiqua"/>
                <w:sz w:val="21"/>
                <w:szCs w:val="21"/>
                <w:lang w:val="es-DO"/>
              </w:rPr>
              <w:t>¿Cuál se mantiene?</w:t>
            </w:r>
          </w:p>
        </w:tc>
      </w:tr>
      <w:tr w:rsidR="00DA6DD7" w:rsidRPr="00D80942" w14:paraId="5DB07F9A" w14:textId="77777777" w:rsidTr="00D80942">
        <w:trPr>
          <w:jc w:val="center"/>
        </w:trPr>
        <w:tc>
          <w:tcPr>
            <w:tcW w:w="846" w:type="dxa"/>
          </w:tcPr>
          <w:p w14:paraId="33084354" w14:textId="1C354F1F" w:rsidR="00DA6DD7" w:rsidRPr="00D80942" w:rsidRDefault="00DA6DD7" w:rsidP="00FC2175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  <w:lang w:val="es-DO"/>
              </w:rPr>
            </w:pPr>
            <w:r>
              <w:rPr>
                <w:rFonts w:ascii="Book Antiqua" w:hAnsi="Book Antiqua"/>
                <w:sz w:val="21"/>
                <w:szCs w:val="21"/>
                <w:lang w:val="es-DO"/>
              </w:rPr>
              <w:t>2022</w:t>
            </w:r>
          </w:p>
        </w:tc>
        <w:tc>
          <w:tcPr>
            <w:tcW w:w="2268" w:type="dxa"/>
          </w:tcPr>
          <w:p w14:paraId="5F0BB260" w14:textId="58EB01DA" w:rsidR="00DA6DD7" w:rsidRPr="00D80942" w:rsidRDefault="00DA6DD7" w:rsidP="00FC2175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  <w:lang w:val="es-DO"/>
              </w:rPr>
            </w:pPr>
            <w:r>
              <w:rPr>
                <w:rFonts w:ascii="Book Antiqua" w:hAnsi="Book Antiqua"/>
                <w:sz w:val="21"/>
                <w:szCs w:val="21"/>
                <w:lang w:val="es-DO"/>
              </w:rPr>
              <w:t>RD$494,945,571.00</w:t>
            </w:r>
          </w:p>
        </w:tc>
        <w:tc>
          <w:tcPr>
            <w:tcW w:w="3969" w:type="dxa"/>
          </w:tcPr>
          <w:p w14:paraId="5EC6E3F1" w14:textId="531DC556" w:rsidR="00DA6DD7" w:rsidRPr="00D80942" w:rsidRDefault="00DA6DD7" w:rsidP="00FC2175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  <w:lang w:val="es-DO"/>
              </w:rPr>
            </w:pPr>
            <w:r>
              <w:rPr>
                <w:rFonts w:ascii="Book Antiqua" w:hAnsi="Book Antiqua"/>
                <w:sz w:val="21"/>
                <w:szCs w:val="21"/>
                <w:lang w:val="es-DO"/>
              </w:rPr>
              <w:t>RD$ 404,657,143.00</w:t>
            </w:r>
          </w:p>
        </w:tc>
        <w:tc>
          <w:tcPr>
            <w:tcW w:w="2268" w:type="dxa"/>
          </w:tcPr>
          <w:p w14:paraId="0F2370F1" w14:textId="64D020B7" w:rsidR="00DA6DD7" w:rsidRPr="00D80942" w:rsidRDefault="009D4A63" w:rsidP="00FC2175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  <w:lang w:val="es-DO"/>
              </w:rPr>
            </w:pPr>
            <w:r>
              <w:rPr>
                <w:rFonts w:ascii="Book Antiqua" w:hAnsi="Book Antiqua"/>
                <w:sz w:val="21"/>
                <w:szCs w:val="21"/>
                <w:lang w:val="es-DO"/>
              </w:rPr>
              <w:t>DR-CAFTA</w:t>
            </w:r>
          </w:p>
        </w:tc>
      </w:tr>
      <w:tr w:rsidR="00A86245" w:rsidRPr="00D80942" w14:paraId="6C53AE7F" w14:textId="77777777" w:rsidTr="00D80942">
        <w:trPr>
          <w:jc w:val="center"/>
        </w:trPr>
        <w:tc>
          <w:tcPr>
            <w:tcW w:w="846" w:type="dxa"/>
          </w:tcPr>
          <w:p w14:paraId="4D5EC04A" w14:textId="799A18BC" w:rsidR="00A86245" w:rsidRDefault="00A86245" w:rsidP="00A86245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  <w:lang w:val="es-DO"/>
              </w:rPr>
            </w:pPr>
            <w:r>
              <w:rPr>
                <w:rFonts w:ascii="Book Antiqua" w:hAnsi="Book Antiqua"/>
                <w:sz w:val="21"/>
                <w:szCs w:val="21"/>
                <w:lang w:val="es-DO"/>
              </w:rPr>
              <w:t>2023</w:t>
            </w:r>
          </w:p>
        </w:tc>
        <w:tc>
          <w:tcPr>
            <w:tcW w:w="2268" w:type="dxa"/>
          </w:tcPr>
          <w:p w14:paraId="4703BF2F" w14:textId="68BA8EA1" w:rsidR="00A86245" w:rsidRDefault="00A86245" w:rsidP="00A86245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  <w:lang w:val="es-DO"/>
              </w:rPr>
            </w:pPr>
            <w:r>
              <w:rPr>
                <w:rFonts w:ascii="Book Antiqua" w:hAnsi="Book Antiqua"/>
                <w:sz w:val="21"/>
                <w:szCs w:val="21"/>
                <w:lang w:val="es-DO"/>
              </w:rPr>
              <w:t>RD$617,254,768.00</w:t>
            </w:r>
          </w:p>
        </w:tc>
        <w:tc>
          <w:tcPr>
            <w:tcW w:w="3969" w:type="dxa"/>
          </w:tcPr>
          <w:p w14:paraId="75CA41EB" w14:textId="6C5B5E78" w:rsidR="00A86245" w:rsidRDefault="00A86245" w:rsidP="00A86245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  <w:lang w:val="es-DO"/>
              </w:rPr>
            </w:pPr>
            <w:r>
              <w:rPr>
                <w:rFonts w:ascii="Book Antiqua" w:hAnsi="Book Antiqua"/>
                <w:sz w:val="21"/>
                <w:szCs w:val="21"/>
                <w:lang w:val="es-DO"/>
              </w:rPr>
              <w:t>RD$ 396,704,654.00</w:t>
            </w:r>
          </w:p>
        </w:tc>
        <w:tc>
          <w:tcPr>
            <w:tcW w:w="2268" w:type="dxa"/>
          </w:tcPr>
          <w:p w14:paraId="6B4FB806" w14:textId="7C337FF4" w:rsidR="00A86245" w:rsidRDefault="00A86245" w:rsidP="00A86245">
            <w:pPr>
              <w:spacing w:after="0" w:line="240" w:lineRule="auto"/>
              <w:jc w:val="both"/>
              <w:rPr>
                <w:rFonts w:ascii="Book Antiqua" w:hAnsi="Book Antiqua"/>
                <w:sz w:val="21"/>
                <w:szCs w:val="21"/>
                <w:lang w:val="es-DO"/>
              </w:rPr>
            </w:pPr>
            <w:r>
              <w:rPr>
                <w:rFonts w:ascii="Book Antiqua" w:hAnsi="Book Antiqua"/>
                <w:sz w:val="21"/>
                <w:szCs w:val="21"/>
                <w:lang w:val="es-DO"/>
              </w:rPr>
              <w:t>DR-CAFTA</w:t>
            </w:r>
          </w:p>
        </w:tc>
      </w:tr>
    </w:tbl>
    <w:p w14:paraId="544B85E6" w14:textId="0161205B" w:rsidR="0085505F" w:rsidRDefault="0085505F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p w14:paraId="06230500" w14:textId="70EC46C7" w:rsidR="00C97630" w:rsidRDefault="00E110F0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  <w:r>
        <w:rPr>
          <w:rFonts w:ascii="Book Antiqua" w:hAnsi="Book Antiqua"/>
          <w:sz w:val="24"/>
          <w:szCs w:val="24"/>
          <w:lang w:val="es-DO"/>
        </w:rPr>
        <w:t>Finalmente</w:t>
      </w:r>
      <w:r w:rsidR="00C97630">
        <w:rPr>
          <w:rFonts w:ascii="Book Antiqua" w:hAnsi="Book Antiqua"/>
          <w:sz w:val="24"/>
          <w:szCs w:val="24"/>
          <w:lang w:val="es-DO"/>
        </w:rPr>
        <w:t>,</w:t>
      </w:r>
      <w:r>
        <w:rPr>
          <w:rFonts w:ascii="Book Antiqua" w:hAnsi="Book Antiqua"/>
          <w:sz w:val="24"/>
          <w:szCs w:val="24"/>
          <w:lang w:val="es-DO"/>
        </w:rPr>
        <w:t xml:space="preserve"> adjuntamos</w:t>
      </w:r>
      <w:r w:rsidR="00C97630">
        <w:rPr>
          <w:rFonts w:ascii="Book Antiqua" w:hAnsi="Book Antiqua"/>
          <w:sz w:val="24"/>
          <w:szCs w:val="24"/>
          <w:lang w:val="es-DO"/>
        </w:rPr>
        <w:t xml:space="preserve"> los umbr</w:t>
      </w:r>
      <w:r w:rsidR="002428DF">
        <w:rPr>
          <w:rFonts w:ascii="Book Antiqua" w:hAnsi="Book Antiqua"/>
          <w:sz w:val="24"/>
          <w:szCs w:val="24"/>
          <w:lang w:val="es-DO"/>
        </w:rPr>
        <w:t xml:space="preserve">ales correspondientes al año </w:t>
      </w:r>
      <w:r w:rsidR="00C97630">
        <w:rPr>
          <w:rFonts w:ascii="Book Antiqua" w:hAnsi="Book Antiqua"/>
          <w:sz w:val="24"/>
          <w:szCs w:val="24"/>
          <w:lang w:val="es-DO"/>
        </w:rPr>
        <w:t>202</w:t>
      </w:r>
      <w:r w:rsidR="00A86245">
        <w:rPr>
          <w:rFonts w:ascii="Book Antiqua" w:hAnsi="Book Antiqua"/>
          <w:sz w:val="24"/>
          <w:szCs w:val="24"/>
          <w:lang w:val="es-DO"/>
        </w:rPr>
        <w:t>2</w:t>
      </w:r>
      <w:r w:rsidR="00C97630">
        <w:rPr>
          <w:rFonts w:ascii="Book Antiqua" w:hAnsi="Book Antiqua"/>
          <w:sz w:val="24"/>
          <w:szCs w:val="24"/>
          <w:lang w:val="es-DO"/>
        </w:rPr>
        <w:t>, con fines comparativos:</w:t>
      </w:r>
    </w:p>
    <w:p w14:paraId="20EE2C9C" w14:textId="5F4E375E" w:rsidR="00C635D9" w:rsidRDefault="00C635D9" w:rsidP="00FC2175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s-DO"/>
        </w:rPr>
      </w:pPr>
    </w:p>
    <w:tbl>
      <w:tblPr>
        <w:tblW w:w="404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2157"/>
        <w:gridCol w:w="1931"/>
        <w:gridCol w:w="1864"/>
      </w:tblGrid>
      <w:tr w:rsidR="00AE1F2B" w:rsidRPr="00516946" w14:paraId="748381FD" w14:textId="77777777" w:rsidTr="00516946">
        <w:trPr>
          <w:trHeight w:val="352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A6A6A6"/>
            <w:noWrap/>
            <w:vAlign w:val="bottom"/>
            <w:hideMark/>
          </w:tcPr>
          <w:p w14:paraId="15B4DEF2" w14:textId="1D4D1F07" w:rsidR="00AE1F2B" w:rsidRPr="00516946" w:rsidRDefault="00A86245" w:rsidP="00EF1C71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</w:pPr>
            <w:r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  <w:t>Umbrales 2022</w:t>
            </w:r>
          </w:p>
          <w:p w14:paraId="56D99705" w14:textId="77777777" w:rsidR="00AE1F2B" w:rsidRPr="00516946" w:rsidRDefault="00AE1F2B" w:rsidP="00EF1C71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</w:pPr>
          </w:p>
        </w:tc>
      </w:tr>
      <w:tr w:rsidR="00AE1F2B" w:rsidRPr="00516946" w14:paraId="72B5D76D" w14:textId="77777777" w:rsidTr="00825DCC">
        <w:trPr>
          <w:trHeight w:val="416"/>
          <w:jc w:val="center"/>
        </w:trPr>
        <w:tc>
          <w:tcPr>
            <w:tcW w:w="1057" w:type="pct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ECBAE" w14:textId="77777777" w:rsidR="00AE1F2B" w:rsidRPr="00516946" w:rsidRDefault="00AE1F2B" w:rsidP="00EF1C71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</w:pPr>
            <w:r w:rsidRPr="00516946"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  <w:t>TIPO DE</w:t>
            </w:r>
          </w:p>
          <w:p w14:paraId="5C78CD51" w14:textId="77777777" w:rsidR="00AE1F2B" w:rsidRPr="00516946" w:rsidRDefault="00AE1F2B" w:rsidP="00EF1C71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</w:pPr>
            <w:r w:rsidRPr="00516946"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  <w:t>PROCEDIMIENTO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870D" w14:textId="77777777" w:rsidR="00AE1F2B" w:rsidRPr="00516946" w:rsidRDefault="00AE1F2B" w:rsidP="00EF1C71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</w:pPr>
            <w:r w:rsidRPr="00516946"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  <w:t>OBRAS</w:t>
            </w:r>
          </w:p>
          <w:p w14:paraId="686EC367" w14:textId="77777777" w:rsidR="00AE1F2B" w:rsidRPr="00516946" w:rsidRDefault="00AE1F2B" w:rsidP="00EF1C71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43C5" w14:textId="77777777" w:rsidR="00AE1F2B" w:rsidRPr="00516946" w:rsidRDefault="00AE1F2B" w:rsidP="00EF1C71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</w:pPr>
            <w:r w:rsidRPr="00516946"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  <w:t>BIENES</w:t>
            </w:r>
          </w:p>
          <w:p w14:paraId="6E73D858" w14:textId="77777777" w:rsidR="00AE1F2B" w:rsidRPr="00516946" w:rsidRDefault="00AE1F2B" w:rsidP="00EF1C71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FAADE" w14:textId="77777777" w:rsidR="00AE1F2B" w:rsidRPr="00516946" w:rsidRDefault="00AE1F2B" w:rsidP="00EF1C71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</w:pPr>
            <w:r w:rsidRPr="00516946"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  <w:t>SERVICIOS</w:t>
            </w:r>
          </w:p>
          <w:p w14:paraId="3E8AED13" w14:textId="77777777" w:rsidR="00AE1F2B" w:rsidRPr="00516946" w:rsidRDefault="00AE1F2B" w:rsidP="00EF1C71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  <w:lang w:val="es-DO"/>
              </w:rPr>
            </w:pPr>
          </w:p>
        </w:tc>
      </w:tr>
      <w:tr w:rsidR="00825DCC" w:rsidRPr="00A86245" w14:paraId="64BDF494" w14:textId="77777777" w:rsidTr="00825DCC">
        <w:trPr>
          <w:trHeight w:val="567"/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7585" w14:textId="77777777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516946">
              <w:rPr>
                <w:rFonts w:ascii="Book Antiqua" w:hAnsi="Book Antiqua" w:cs="Arial"/>
                <w:sz w:val="16"/>
                <w:szCs w:val="16"/>
                <w:lang w:val="es-DO"/>
              </w:rPr>
              <w:t>Licitación Pública</w:t>
            </w:r>
          </w:p>
          <w:p w14:paraId="09A75227" w14:textId="77777777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0745AE" w14:textId="0061761E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825DCC">
              <w:rPr>
                <w:rFonts w:ascii="Book Antiqua" w:hAnsi="Book Antiqua" w:cs="Arial"/>
                <w:sz w:val="16"/>
                <w:szCs w:val="16"/>
                <w:lang w:val="es-DO"/>
              </w:rPr>
              <w:t xml:space="preserve"> Desde RD$404,657,143.00 en adelante 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092828" w14:textId="46E8D5E1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825DCC">
              <w:rPr>
                <w:rFonts w:ascii="Book Antiqua" w:hAnsi="Book Antiqua" w:cs="Arial"/>
                <w:sz w:val="16"/>
                <w:szCs w:val="16"/>
                <w:lang w:val="es-DO"/>
              </w:rPr>
              <w:t xml:space="preserve"> Desde RD$5,312,506.00 en adelante 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5681C9" w14:textId="603F7979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825DCC">
              <w:rPr>
                <w:rFonts w:ascii="Book Antiqua" w:hAnsi="Book Antiqua" w:cs="Arial"/>
                <w:sz w:val="16"/>
                <w:szCs w:val="16"/>
                <w:lang w:val="es-DO"/>
              </w:rPr>
              <w:t xml:space="preserve"> Desde RD$5,312,506.00 en adelante </w:t>
            </w:r>
          </w:p>
        </w:tc>
      </w:tr>
      <w:tr w:rsidR="00825DCC" w:rsidRPr="00A86245" w14:paraId="3C1880B0" w14:textId="77777777" w:rsidTr="00825DCC">
        <w:trPr>
          <w:trHeight w:val="606"/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B5A5" w14:textId="77777777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516946">
              <w:rPr>
                <w:rFonts w:ascii="Book Antiqua" w:hAnsi="Book Antiqua" w:cs="Arial"/>
                <w:sz w:val="16"/>
                <w:szCs w:val="16"/>
                <w:lang w:val="es-DO"/>
              </w:rPr>
              <w:t>Licitación Restringida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DB159A7" w14:textId="45A57F17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825DCC">
              <w:rPr>
                <w:rFonts w:ascii="Book Antiqua" w:hAnsi="Book Antiqua" w:cs="Arial"/>
                <w:sz w:val="16"/>
                <w:szCs w:val="16"/>
                <w:lang w:val="es-DO"/>
              </w:rPr>
              <w:t xml:space="preserve"> Desde RD$206,227,321.00 hasta RD$404,657,142.99 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C925EB" w14:textId="78DC2FC4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825DCC">
              <w:rPr>
                <w:rFonts w:ascii="Book Antiqua" w:hAnsi="Book Antiqua" w:cs="Arial"/>
                <w:sz w:val="16"/>
                <w:szCs w:val="16"/>
                <w:lang w:val="es-DO"/>
              </w:rPr>
              <w:t xml:space="preserve"> Desde RD$5,258,566.00 hasta RD$5,312,505.99 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C0A8CD" w14:textId="46A7E31E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825DCC">
              <w:rPr>
                <w:rFonts w:ascii="Book Antiqua" w:hAnsi="Book Antiqua" w:cs="Arial"/>
                <w:sz w:val="16"/>
                <w:szCs w:val="16"/>
                <w:lang w:val="es-DO"/>
              </w:rPr>
              <w:t xml:space="preserve"> Desde RD$5,258,566.00 hasta RD$5,312,505.99 </w:t>
            </w:r>
          </w:p>
        </w:tc>
      </w:tr>
      <w:tr w:rsidR="00825DCC" w:rsidRPr="00A86245" w14:paraId="0572653D" w14:textId="77777777" w:rsidTr="00825DCC">
        <w:trPr>
          <w:trHeight w:val="615"/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ACF8" w14:textId="77777777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516946">
              <w:rPr>
                <w:rFonts w:ascii="Book Antiqua" w:hAnsi="Book Antiqua" w:cs="Arial"/>
                <w:sz w:val="16"/>
                <w:szCs w:val="16"/>
                <w:lang w:val="es-DO"/>
              </w:rPr>
              <w:t>Sorteo de Obras</w:t>
            </w:r>
          </w:p>
          <w:p w14:paraId="0EB14F15" w14:textId="77777777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33399D1" w14:textId="4BA985F2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825DCC">
              <w:rPr>
                <w:rFonts w:ascii="Book Antiqua" w:hAnsi="Book Antiqua" w:cs="Arial"/>
                <w:sz w:val="16"/>
                <w:szCs w:val="16"/>
                <w:lang w:val="es-DO"/>
              </w:rPr>
              <w:t xml:space="preserve"> Desde RD$123,736,393.00 hasta RD$206,227,320.99 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C1D1" w14:textId="11548B62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825DCC">
              <w:rPr>
                <w:rFonts w:ascii="Book Antiqua" w:hAnsi="Book Antiqua" w:cs="Arial"/>
                <w:sz w:val="16"/>
                <w:szCs w:val="16"/>
                <w:lang w:val="es-DO"/>
              </w:rPr>
              <w:t xml:space="preserve"> N/A 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2F11" w14:textId="3FBD8A8D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825DCC">
              <w:rPr>
                <w:rFonts w:ascii="Book Antiqua" w:hAnsi="Book Antiqua" w:cs="Arial"/>
                <w:sz w:val="16"/>
                <w:szCs w:val="16"/>
                <w:lang w:val="es-DO"/>
              </w:rPr>
              <w:t xml:space="preserve"> N/A </w:t>
            </w:r>
          </w:p>
        </w:tc>
      </w:tr>
      <w:tr w:rsidR="00825DCC" w:rsidRPr="00A86245" w14:paraId="1477EE69" w14:textId="77777777" w:rsidTr="00825DCC">
        <w:trPr>
          <w:trHeight w:val="600"/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245" w14:textId="77777777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516946">
              <w:rPr>
                <w:rFonts w:ascii="Book Antiqua" w:hAnsi="Book Antiqua" w:cs="Arial"/>
                <w:sz w:val="16"/>
                <w:szCs w:val="16"/>
                <w:lang w:val="es-DO"/>
              </w:rPr>
              <w:t>Comparación de Precios</w:t>
            </w:r>
          </w:p>
        </w:tc>
        <w:tc>
          <w:tcPr>
            <w:tcW w:w="1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56C51E1" w14:textId="70741678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825DCC">
              <w:rPr>
                <w:rFonts w:ascii="Book Antiqua" w:hAnsi="Book Antiqua" w:cs="Arial"/>
                <w:sz w:val="16"/>
                <w:szCs w:val="16"/>
                <w:lang w:val="es-DO"/>
              </w:rPr>
              <w:t xml:space="preserve"> Desde RD$32,996,371.00 hasta RD$123,736,392.99 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78E0325" w14:textId="73C20A84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825DCC">
              <w:rPr>
                <w:rFonts w:ascii="Book Antiqua" w:hAnsi="Book Antiqua" w:cs="Arial"/>
                <w:sz w:val="16"/>
                <w:szCs w:val="16"/>
                <w:lang w:val="es-DO"/>
              </w:rPr>
              <w:t xml:space="preserve"> Desde RD$1,237,364.00 hasta RD$5,258,565.99 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E1B9D8C" w14:textId="6B1198C3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825DCC">
              <w:rPr>
                <w:rFonts w:ascii="Book Antiqua" w:hAnsi="Book Antiqua" w:cs="Arial"/>
                <w:sz w:val="16"/>
                <w:szCs w:val="16"/>
                <w:lang w:val="es-DO"/>
              </w:rPr>
              <w:t xml:space="preserve"> Desde RD$1,237,364.00 hasta RD$5,258,565.99 </w:t>
            </w:r>
          </w:p>
        </w:tc>
      </w:tr>
      <w:tr w:rsidR="00825DCC" w:rsidRPr="00A86245" w14:paraId="104B0EE9" w14:textId="77777777" w:rsidTr="00825DCC">
        <w:trPr>
          <w:trHeight w:val="801"/>
          <w:jc w:val="center"/>
        </w:trPr>
        <w:tc>
          <w:tcPr>
            <w:tcW w:w="10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F0DC" w14:textId="77777777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516946">
              <w:rPr>
                <w:rFonts w:ascii="Book Antiqua" w:hAnsi="Book Antiqua" w:cs="Arial"/>
                <w:sz w:val="16"/>
                <w:szCs w:val="16"/>
                <w:lang w:val="es-DO"/>
              </w:rPr>
              <w:t>Compras Menores</w:t>
            </w:r>
          </w:p>
          <w:p w14:paraId="5D820308" w14:textId="77777777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</w:p>
          <w:p w14:paraId="5FBB4550" w14:textId="77777777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</w:p>
          <w:p w14:paraId="2E5EEE1F" w14:textId="77777777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</w:p>
        </w:tc>
        <w:tc>
          <w:tcPr>
            <w:tcW w:w="14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E1EFDC" w14:textId="2F9F35E3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825DCC">
              <w:rPr>
                <w:rFonts w:ascii="Book Antiqua" w:hAnsi="Book Antiqua" w:cs="Arial"/>
                <w:sz w:val="16"/>
                <w:szCs w:val="16"/>
                <w:lang w:val="es-DO"/>
              </w:rPr>
              <w:t xml:space="preserve"> N/A </w:t>
            </w:r>
          </w:p>
        </w:tc>
        <w:tc>
          <w:tcPr>
            <w:tcW w:w="12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CAFFB3F" w14:textId="692665A7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825DCC">
              <w:rPr>
                <w:rFonts w:ascii="Book Antiqua" w:hAnsi="Book Antiqua" w:cs="Arial"/>
                <w:sz w:val="16"/>
                <w:szCs w:val="16"/>
                <w:lang w:val="es-DO"/>
              </w:rPr>
              <w:t xml:space="preserve"> Desde RD$164,982.00 hasta RD$1,237,363.99 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CD8B2AB" w14:textId="5CDE371C" w:rsidR="00825DCC" w:rsidRPr="00516946" w:rsidRDefault="00825DCC" w:rsidP="00825DCC">
            <w:pPr>
              <w:autoSpaceDE w:val="0"/>
              <w:autoSpaceDN w:val="0"/>
              <w:adjustRightInd w:val="0"/>
              <w:spacing w:after="0" w:line="240" w:lineRule="auto"/>
              <w:mirrorIndents/>
              <w:jc w:val="center"/>
              <w:rPr>
                <w:rFonts w:ascii="Book Antiqua" w:hAnsi="Book Antiqua" w:cs="Arial"/>
                <w:sz w:val="16"/>
                <w:szCs w:val="16"/>
                <w:lang w:val="es-DO"/>
              </w:rPr>
            </w:pPr>
            <w:r w:rsidRPr="00825DCC">
              <w:rPr>
                <w:rFonts w:ascii="Book Antiqua" w:hAnsi="Book Antiqua" w:cs="Arial"/>
                <w:sz w:val="16"/>
                <w:szCs w:val="16"/>
                <w:lang w:val="es-DO"/>
              </w:rPr>
              <w:t xml:space="preserve"> Desde RD$164,982.00 hasta RD$1,237,363.99 </w:t>
            </w:r>
          </w:p>
        </w:tc>
      </w:tr>
    </w:tbl>
    <w:p w14:paraId="6AAC3B96" w14:textId="719DF635" w:rsidR="00816CA2" w:rsidRPr="00A86245" w:rsidRDefault="00507E06" w:rsidP="002428DF">
      <w:pPr>
        <w:autoSpaceDE w:val="0"/>
        <w:autoSpaceDN w:val="0"/>
        <w:adjustRightInd w:val="0"/>
        <w:spacing w:after="0" w:line="240" w:lineRule="auto"/>
        <w:mirrorIndents/>
        <w:jc w:val="center"/>
        <w:rPr>
          <w:rFonts w:ascii="Book Antiqua" w:hAnsi="Book Antiqua" w:cs="Arial"/>
          <w:sz w:val="16"/>
          <w:szCs w:val="16"/>
          <w:lang w:val="es-DO"/>
        </w:rPr>
      </w:pPr>
      <w:r>
        <w:rPr>
          <w:rFonts w:ascii="Book Antiqua" w:hAnsi="Book Antiqua" w:cs="Arial"/>
          <w:sz w:val="16"/>
          <w:szCs w:val="16"/>
          <w:lang w:val="es-DO"/>
        </w:rPr>
        <w:lastRenderedPageBreak/>
        <w:t xml:space="preserve"> </w:t>
      </w:r>
    </w:p>
    <w:sectPr w:rsidR="00816CA2" w:rsidRPr="00A86245" w:rsidSect="004879C5">
      <w:headerReference w:type="default" r:id="rId8"/>
      <w:footerReference w:type="default" r:id="rId9"/>
      <w:pgSz w:w="12240" w:h="15840" w:code="1"/>
      <w:pgMar w:top="1440" w:right="1440" w:bottom="1135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943E" w14:textId="77777777" w:rsidR="00DC3F92" w:rsidRDefault="00DC3F92">
      <w:pPr>
        <w:spacing w:after="0" w:line="240" w:lineRule="auto"/>
      </w:pPr>
      <w:r>
        <w:separator/>
      </w:r>
    </w:p>
  </w:endnote>
  <w:endnote w:type="continuationSeparator" w:id="0">
    <w:p w14:paraId="11B90850" w14:textId="77777777" w:rsidR="00DC3F92" w:rsidRDefault="00DC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tifex C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Georgia"/>
    <w:charset w:val="00"/>
    <w:family w:val="roman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2FFE" w14:textId="77777777" w:rsidR="00C635D9" w:rsidRDefault="00C635D9" w:rsidP="00C635D9">
    <w:pPr>
      <w:pStyle w:val="Piedepgina"/>
      <w:spacing w:after="0"/>
      <w:jc w:val="right"/>
      <w:rPr>
        <w:rFonts w:ascii="Book Antiqua" w:hAnsi="Book Antiqua"/>
        <w:sz w:val="20"/>
        <w:szCs w:val="20"/>
      </w:rPr>
    </w:pPr>
  </w:p>
  <w:p w14:paraId="427BDFED" w14:textId="7F8D928D" w:rsidR="00C635D9" w:rsidRPr="00C635D9" w:rsidRDefault="00C635D9" w:rsidP="00C635D9">
    <w:pPr>
      <w:pStyle w:val="Piedepgina"/>
      <w:spacing w:after="0"/>
      <w:jc w:val="right"/>
      <w:rPr>
        <w:rFonts w:ascii="Book Antiqua" w:hAnsi="Book Antiqua"/>
        <w:sz w:val="20"/>
        <w:szCs w:val="20"/>
      </w:rPr>
    </w:pPr>
    <w:r w:rsidRPr="00C635D9">
      <w:rPr>
        <w:rFonts w:ascii="Book Antiqua" w:hAnsi="Book Antiqua"/>
        <w:sz w:val="20"/>
        <w:szCs w:val="20"/>
      </w:rPr>
      <w:t>Elaborado por la Dirección de Políticas, Normas y Procedimientos</w:t>
    </w:r>
  </w:p>
  <w:p w14:paraId="40637492" w14:textId="5657C0D5" w:rsidR="00C635D9" w:rsidRPr="00C635D9" w:rsidRDefault="00C635D9" w:rsidP="00C635D9">
    <w:pPr>
      <w:pStyle w:val="Piedepgina"/>
      <w:spacing w:after="0"/>
      <w:jc w:val="right"/>
      <w:rPr>
        <w:rFonts w:ascii="Book Antiqua" w:hAnsi="Book Antiqua"/>
        <w:sz w:val="20"/>
        <w:szCs w:val="20"/>
      </w:rPr>
    </w:pPr>
    <w:r w:rsidRPr="00C635D9">
      <w:rPr>
        <w:rFonts w:ascii="Book Antiqua" w:hAnsi="Book Antiqua"/>
        <w:sz w:val="20"/>
        <w:szCs w:val="20"/>
      </w:rPr>
      <w:t>6 de enero del 2021</w:t>
    </w:r>
  </w:p>
  <w:p w14:paraId="1AEFFE30" w14:textId="28083210" w:rsidR="00C635D9" w:rsidRPr="00C635D9" w:rsidRDefault="00C635D9" w:rsidP="00C635D9">
    <w:pPr>
      <w:pStyle w:val="Piedepgina"/>
      <w:jc w:val="right"/>
      <w:rPr>
        <w:rFonts w:ascii="Book Antiqua" w:hAnsi="Book Antiqua"/>
        <w:color w:val="000000" w:themeColor="text1"/>
        <w:sz w:val="20"/>
        <w:szCs w:val="20"/>
      </w:rPr>
    </w:pPr>
    <w:r w:rsidRPr="00C635D9">
      <w:rPr>
        <w:rFonts w:ascii="Book Antiqua" w:hAnsi="Book Antiqua"/>
        <w:color w:val="000000" w:themeColor="text1"/>
        <w:sz w:val="20"/>
        <w:szCs w:val="20"/>
      </w:rPr>
      <w:t xml:space="preserve">Página </w:t>
    </w:r>
    <w:r w:rsidRPr="00C635D9">
      <w:rPr>
        <w:rFonts w:ascii="Book Antiqua" w:hAnsi="Book Antiqua"/>
        <w:color w:val="000000" w:themeColor="text1"/>
        <w:sz w:val="20"/>
        <w:szCs w:val="20"/>
      </w:rPr>
      <w:fldChar w:fldCharType="begin"/>
    </w:r>
    <w:r w:rsidRPr="00C635D9">
      <w:rPr>
        <w:rFonts w:ascii="Book Antiqua" w:hAnsi="Book Antiqua"/>
        <w:color w:val="000000" w:themeColor="text1"/>
        <w:sz w:val="20"/>
        <w:szCs w:val="20"/>
      </w:rPr>
      <w:instrText>PAGE  \* Arabic  \* MERGEFORMAT</w:instrText>
    </w:r>
    <w:r w:rsidRPr="00C635D9">
      <w:rPr>
        <w:rFonts w:ascii="Book Antiqua" w:hAnsi="Book Antiqua"/>
        <w:color w:val="000000" w:themeColor="text1"/>
        <w:sz w:val="20"/>
        <w:szCs w:val="20"/>
      </w:rPr>
      <w:fldChar w:fldCharType="separate"/>
    </w:r>
    <w:r w:rsidR="00507E06">
      <w:rPr>
        <w:rFonts w:ascii="Book Antiqua" w:hAnsi="Book Antiqua"/>
        <w:noProof/>
        <w:color w:val="000000" w:themeColor="text1"/>
        <w:sz w:val="20"/>
        <w:szCs w:val="20"/>
      </w:rPr>
      <w:t>1</w:t>
    </w:r>
    <w:r w:rsidRPr="00C635D9">
      <w:rPr>
        <w:rFonts w:ascii="Book Antiqua" w:hAnsi="Book Antiqua"/>
        <w:color w:val="000000" w:themeColor="text1"/>
        <w:sz w:val="20"/>
        <w:szCs w:val="20"/>
      </w:rPr>
      <w:fldChar w:fldCharType="end"/>
    </w:r>
    <w:r w:rsidRPr="00C635D9">
      <w:rPr>
        <w:rFonts w:ascii="Book Antiqua" w:hAnsi="Book Antiqua"/>
        <w:color w:val="000000" w:themeColor="text1"/>
        <w:sz w:val="20"/>
        <w:szCs w:val="20"/>
      </w:rPr>
      <w:t xml:space="preserve"> de </w:t>
    </w:r>
    <w:r w:rsidRPr="00C635D9">
      <w:rPr>
        <w:rFonts w:ascii="Book Antiqua" w:hAnsi="Book Antiqua"/>
        <w:color w:val="000000" w:themeColor="text1"/>
        <w:sz w:val="20"/>
        <w:szCs w:val="20"/>
      </w:rPr>
      <w:fldChar w:fldCharType="begin"/>
    </w:r>
    <w:r w:rsidRPr="00C635D9">
      <w:rPr>
        <w:rFonts w:ascii="Book Antiqua" w:hAnsi="Book Antiqua"/>
        <w:color w:val="000000" w:themeColor="text1"/>
        <w:sz w:val="20"/>
        <w:szCs w:val="20"/>
      </w:rPr>
      <w:instrText>NUMPAGES  \* Arabic  \* MERGEFORMAT</w:instrText>
    </w:r>
    <w:r w:rsidRPr="00C635D9">
      <w:rPr>
        <w:rFonts w:ascii="Book Antiqua" w:hAnsi="Book Antiqua"/>
        <w:color w:val="000000" w:themeColor="text1"/>
        <w:sz w:val="20"/>
        <w:szCs w:val="20"/>
      </w:rPr>
      <w:fldChar w:fldCharType="separate"/>
    </w:r>
    <w:r w:rsidR="00507E06">
      <w:rPr>
        <w:rFonts w:ascii="Book Antiqua" w:hAnsi="Book Antiqua"/>
        <w:noProof/>
        <w:color w:val="000000" w:themeColor="text1"/>
        <w:sz w:val="20"/>
        <w:szCs w:val="20"/>
      </w:rPr>
      <w:t>4</w:t>
    </w:r>
    <w:r w:rsidRPr="00C635D9">
      <w:rPr>
        <w:rFonts w:ascii="Book Antiqua" w:hAnsi="Book Antiqua"/>
        <w:color w:val="000000" w:themeColor="text1"/>
        <w:sz w:val="20"/>
        <w:szCs w:val="20"/>
      </w:rPr>
      <w:fldChar w:fldCharType="end"/>
    </w:r>
  </w:p>
  <w:p w14:paraId="2CAD7C60" w14:textId="77777777" w:rsidR="00C635D9" w:rsidRPr="00C635D9" w:rsidRDefault="00C635D9" w:rsidP="00C635D9">
    <w:pPr>
      <w:pStyle w:val="Piedepgina"/>
      <w:spacing w:after="0"/>
      <w:jc w:val="right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AD760" w14:textId="77777777" w:rsidR="00DC3F92" w:rsidRDefault="00DC3F92">
      <w:pPr>
        <w:spacing w:after="0" w:line="240" w:lineRule="auto"/>
      </w:pPr>
      <w:r>
        <w:separator/>
      </w:r>
    </w:p>
  </w:footnote>
  <w:footnote w:type="continuationSeparator" w:id="0">
    <w:p w14:paraId="26E63B8E" w14:textId="77777777" w:rsidR="00DC3F92" w:rsidRDefault="00DC3F92">
      <w:pPr>
        <w:spacing w:after="0" w:line="240" w:lineRule="auto"/>
      </w:pPr>
      <w:r>
        <w:continuationSeparator/>
      </w:r>
    </w:p>
  </w:footnote>
  <w:footnote w:id="1">
    <w:p w14:paraId="5523DD5F" w14:textId="1ECE91D1" w:rsidR="001F070D" w:rsidRPr="001F070D" w:rsidRDefault="001F070D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1F070D">
        <w:rPr>
          <w:lang w:val="en-US"/>
        </w:rPr>
        <w:t xml:space="preserve"> Dominican Republic-Central America-United States Free Trade Agreement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032D" w14:textId="55ABC887" w:rsidR="00C635D9" w:rsidRPr="00C635D9" w:rsidRDefault="00C635D9" w:rsidP="00C635D9">
    <w:pPr>
      <w:spacing w:after="0" w:line="240" w:lineRule="auto"/>
      <w:ind w:right="2340"/>
      <w:jc w:val="center"/>
      <w:rPr>
        <w:rFonts w:ascii="Adobe Caslon Pro" w:eastAsia="Times New Roman" w:hAnsi="Adobe Caslon Pro"/>
        <w:i/>
        <w:sz w:val="18"/>
        <w:szCs w:val="20"/>
        <w:lang w:eastAsia="es-ES"/>
      </w:rPr>
    </w:pPr>
    <w:r w:rsidRPr="00C635D9">
      <w:rPr>
        <w:rFonts w:ascii="Adobe Caslon Pro" w:eastAsia="Times New Roman" w:hAnsi="Adobe Caslon Pro"/>
        <w:i/>
        <w:noProof/>
        <w:sz w:val="18"/>
        <w:szCs w:val="20"/>
        <w:lang w:val="es-DO" w:eastAsia="es-DO"/>
      </w:rPr>
      <w:drawing>
        <wp:anchor distT="0" distB="0" distL="114300" distR="114300" simplePos="0" relativeHeight="251660288" behindDoc="0" locked="0" layoutInCell="1" allowOverlap="1" wp14:anchorId="3A38D622" wp14:editId="3FF82F4A">
          <wp:simplePos x="0" y="0"/>
          <wp:positionH relativeFrom="column">
            <wp:posOffset>1710055</wp:posOffset>
          </wp:positionH>
          <wp:positionV relativeFrom="paragraph">
            <wp:posOffset>-88314</wp:posOffset>
          </wp:positionV>
          <wp:extent cx="2650490" cy="594360"/>
          <wp:effectExtent l="0" t="0" r="0" b="0"/>
          <wp:wrapSquare wrapText="bothSides"/>
          <wp:docPr id="15413" name="Imagen 3">
            <a:extLst xmlns:a="http://schemas.openxmlformats.org/drawingml/2006/main">
              <a:ext uri="{FF2B5EF4-FFF2-40B4-BE49-F238E27FC236}">
                <a16:creationId xmlns:a16="http://schemas.microsoft.com/office/drawing/2014/main" id="{98251D1F-5A06-F54F-9B62-74D70496D63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13" name="Imagen 3">
                    <a:extLst>
                      <a:ext uri="{FF2B5EF4-FFF2-40B4-BE49-F238E27FC236}">
                        <a16:creationId xmlns:a16="http://schemas.microsoft.com/office/drawing/2014/main" id="{98251D1F-5A06-F54F-9B62-74D70496D63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49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3A8">
      <w:rPr>
        <w:rFonts w:ascii="Arial" w:eastAsia="Times New Roman" w:hAnsi="Arial"/>
        <w:b/>
        <w:noProof/>
        <w:sz w:val="18"/>
        <w:szCs w:val="20"/>
        <w:lang w:val="es-DO" w:eastAsia="es-DO"/>
      </w:rPr>
      <w:drawing>
        <wp:anchor distT="0" distB="0" distL="114300" distR="114300" simplePos="0" relativeHeight="251659264" behindDoc="1" locked="0" layoutInCell="1" allowOverlap="1" wp14:anchorId="5E8BC30B" wp14:editId="6B8595B8">
          <wp:simplePos x="0" y="0"/>
          <wp:positionH relativeFrom="margin">
            <wp:posOffset>7451090</wp:posOffset>
          </wp:positionH>
          <wp:positionV relativeFrom="margin">
            <wp:posOffset>-699135</wp:posOffset>
          </wp:positionV>
          <wp:extent cx="1196975" cy="409575"/>
          <wp:effectExtent l="0" t="0" r="3175" b="9525"/>
          <wp:wrapSquare wrapText="bothSides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2" b="12903"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BCB370" w14:textId="77777777" w:rsidR="00293D74" w:rsidRPr="00C635D9" w:rsidRDefault="00293D74" w:rsidP="003C503A">
    <w:pPr>
      <w:pStyle w:val="Encabezado"/>
      <w:spacing w:after="0" w:line="240" w:lineRule="auto"/>
      <w:rPr>
        <w:rFonts w:ascii="Cambria" w:hAnsi="Cambria"/>
      </w:rPr>
    </w:pPr>
  </w:p>
  <w:p w14:paraId="353CC686" w14:textId="7730A50D" w:rsidR="00E90EDA" w:rsidRDefault="00F15082" w:rsidP="008B17D3">
    <w:pPr>
      <w:pStyle w:val="Encabezado"/>
      <w:spacing w:after="0" w:line="240" w:lineRule="auto"/>
      <w:jc w:val="center"/>
      <w:rPr>
        <w:rFonts w:ascii="Book Antiqua" w:hAnsi="Book Antiqua"/>
        <w:b/>
        <w:sz w:val="18"/>
        <w:szCs w:val="18"/>
        <w:lang w:val="es-ES_tradnl"/>
      </w:rPr>
    </w:pPr>
    <w:r w:rsidRPr="001F7E93">
      <w:rPr>
        <w:rFonts w:ascii="Book Antiqua" w:hAnsi="Book Antiqua"/>
        <w:b/>
        <w:sz w:val="18"/>
        <w:szCs w:val="18"/>
        <w:lang w:val="es-ES_tradnl"/>
      </w:rPr>
      <w:t xml:space="preserve">   </w:t>
    </w:r>
  </w:p>
  <w:p w14:paraId="7798DFD0" w14:textId="77777777" w:rsidR="004341E7" w:rsidRPr="001F7E93" w:rsidRDefault="004341E7" w:rsidP="008B17D3">
    <w:pPr>
      <w:pStyle w:val="Encabezado"/>
      <w:spacing w:after="0" w:line="240" w:lineRule="auto"/>
      <w:jc w:val="center"/>
      <w:rPr>
        <w:rFonts w:ascii="Book Antiqua" w:hAnsi="Book Antiqua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1C79"/>
    <w:multiLevelType w:val="hybridMultilevel"/>
    <w:tmpl w:val="CF14BB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273D"/>
    <w:multiLevelType w:val="hybridMultilevel"/>
    <w:tmpl w:val="8FAC21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3BB"/>
    <w:multiLevelType w:val="hybridMultilevel"/>
    <w:tmpl w:val="8FAC21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57B26"/>
    <w:multiLevelType w:val="hybridMultilevel"/>
    <w:tmpl w:val="DF22A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70424"/>
    <w:multiLevelType w:val="hybridMultilevel"/>
    <w:tmpl w:val="2332BE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491850">
    <w:abstractNumId w:val="0"/>
  </w:num>
  <w:num w:numId="2" w16cid:durableId="646981568">
    <w:abstractNumId w:val="2"/>
  </w:num>
  <w:num w:numId="3" w16cid:durableId="843321926">
    <w:abstractNumId w:val="1"/>
  </w:num>
  <w:num w:numId="4" w16cid:durableId="809324790">
    <w:abstractNumId w:val="3"/>
  </w:num>
  <w:num w:numId="5" w16cid:durableId="1902522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92D"/>
    <w:rsid w:val="000063CE"/>
    <w:rsid w:val="00006FCF"/>
    <w:rsid w:val="00007F8D"/>
    <w:rsid w:val="00010EFB"/>
    <w:rsid w:val="0001134B"/>
    <w:rsid w:val="00011E18"/>
    <w:rsid w:val="000127E6"/>
    <w:rsid w:val="000268A3"/>
    <w:rsid w:val="00032ED5"/>
    <w:rsid w:val="00041109"/>
    <w:rsid w:val="000468F6"/>
    <w:rsid w:val="00051A2D"/>
    <w:rsid w:val="00056A6B"/>
    <w:rsid w:val="0006207A"/>
    <w:rsid w:val="00071B8B"/>
    <w:rsid w:val="00073942"/>
    <w:rsid w:val="00075841"/>
    <w:rsid w:val="000A0050"/>
    <w:rsid w:val="000C23D5"/>
    <w:rsid w:val="000C2643"/>
    <w:rsid w:val="000C3B71"/>
    <w:rsid w:val="000C75D1"/>
    <w:rsid w:val="00136440"/>
    <w:rsid w:val="00142E65"/>
    <w:rsid w:val="0014681A"/>
    <w:rsid w:val="001611E7"/>
    <w:rsid w:val="00163F53"/>
    <w:rsid w:val="00174FA0"/>
    <w:rsid w:val="00180DAA"/>
    <w:rsid w:val="00182DF9"/>
    <w:rsid w:val="001A3410"/>
    <w:rsid w:val="001B7BCF"/>
    <w:rsid w:val="001D71A8"/>
    <w:rsid w:val="001E7872"/>
    <w:rsid w:val="001F070D"/>
    <w:rsid w:val="001F6F6A"/>
    <w:rsid w:val="002137DB"/>
    <w:rsid w:val="0021486D"/>
    <w:rsid w:val="002153BE"/>
    <w:rsid w:val="002209E9"/>
    <w:rsid w:val="002243E9"/>
    <w:rsid w:val="00235DB9"/>
    <w:rsid w:val="002428DF"/>
    <w:rsid w:val="00244450"/>
    <w:rsid w:val="00252436"/>
    <w:rsid w:val="00252C83"/>
    <w:rsid w:val="00253F17"/>
    <w:rsid w:val="002546C3"/>
    <w:rsid w:val="00254780"/>
    <w:rsid w:val="0026300D"/>
    <w:rsid w:val="0026651A"/>
    <w:rsid w:val="00267A62"/>
    <w:rsid w:val="002822E9"/>
    <w:rsid w:val="00293D74"/>
    <w:rsid w:val="002A1FA2"/>
    <w:rsid w:val="002D3070"/>
    <w:rsid w:val="002D4ADF"/>
    <w:rsid w:val="002E0DDE"/>
    <w:rsid w:val="002E59E0"/>
    <w:rsid w:val="002F05CE"/>
    <w:rsid w:val="003204A7"/>
    <w:rsid w:val="00353CD9"/>
    <w:rsid w:val="0036073A"/>
    <w:rsid w:val="003708A1"/>
    <w:rsid w:val="00374EF3"/>
    <w:rsid w:val="0038773B"/>
    <w:rsid w:val="003952D7"/>
    <w:rsid w:val="003A3106"/>
    <w:rsid w:val="003C503A"/>
    <w:rsid w:val="003C5BFF"/>
    <w:rsid w:val="003E0D8F"/>
    <w:rsid w:val="003E3E02"/>
    <w:rsid w:val="003F5594"/>
    <w:rsid w:val="003F6191"/>
    <w:rsid w:val="0040315E"/>
    <w:rsid w:val="00404680"/>
    <w:rsid w:val="004341E7"/>
    <w:rsid w:val="00446DBF"/>
    <w:rsid w:val="0044731A"/>
    <w:rsid w:val="004579B7"/>
    <w:rsid w:val="004642DC"/>
    <w:rsid w:val="00474D20"/>
    <w:rsid w:val="004776C9"/>
    <w:rsid w:val="004879C5"/>
    <w:rsid w:val="00494339"/>
    <w:rsid w:val="0049601C"/>
    <w:rsid w:val="004C0019"/>
    <w:rsid w:val="004F4836"/>
    <w:rsid w:val="005008F0"/>
    <w:rsid w:val="005061EF"/>
    <w:rsid w:val="00507E06"/>
    <w:rsid w:val="00511CEE"/>
    <w:rsid w:val="00516946"/>
    <w:rsid w:val="00523A3A"/>
    <w:rsid w:val="0054308E"/>
    <w:rsid w:val="005478E4"/>
    <w:rsid w:val="005A408C"/>
    <w:rsid w:val="005B3E19"/>
    <w:rsid w:val="005B462F"/>
    <w:rsid w:val="005C0AF2"/>
    <w:rsid w:val="005D3E48"/>
    <w:rsid w:val="005E21B0"/>
    <w:rsid w:val="005F1227"/>
    <w:rsid w:val="00601467"/>
    <w:rsid w:val="00627AF9"/>
    <w:rsid w:val="0063092D"/>
    <w:rsid w:val="00640348"/>
    <w:rsid w:val="006632B1"/>
    <w:rsid w:val="00673803"/>
    <w:rsid w:val="006767FE"/>
    <w:rsid w:val="00682903"/>
    <w:rsid w:val="006A1FF2"/>
    <w:rsid w:val="006A72FD"/>
    <w:rsid w:val="006B77AE"/>
    <w:rsid w:val="006C57D7"/>
    <w:rsid w:val="006C5B65"/>
    <w:rsid w:val="006D78EC"/>
    <w:rsid w:val="006E23FC"/>
    <w:rsid w:val="006E76C9"/>
    <w:rsid w:val="00713EDC"/>
    <w:rsid w:val="00723051"/>
    <w:rsid w:val="00723B29"/>
    <w:rsid w:val="00742365"/>
    <w:rsid w:val="0075383D"/>
    <w:rsid w:val="00764ACF"/>
    <w:rsid w:val="0077094B"/>
    <w:rsid w:val="00783F4D"/>
    <w:rsid w:val="007A65AA"/>
    <w:rsid w:val="007B4379"/>
    <w:rsid w:val="007C0CDE"/>
    <w:rsid w:val="007D5CBC"/>
    <w:rsid w:val="007F43CA"/>
    <w:rsid w:val="00816CA2"/>
    <w:rsid w:val="00825DCC"/>
    <w:rsid w:val="00833265"/>
    <w:rsid w:val="008459AB"/>
    <w:rsid w:val="0085505F"/>
    <w:rsid w:val="008633C3"/>
    <w:rsid w:val="00883978"/>
    <w:rsid w:val="00887B4E"/>
    <w:rsid w:val="00893295"/>
    <w:rsid w:val="00894ADE"/>
    <w:rsid w:val="008B593A"/>
    <w:rsid w:val="008D22BA"/>
    <w:rsid w:val="008D36DA"/>
    <w:rsid w:val="008F42E6"/>
    <w:rsid w:val="008F778C"/>
    <w:rsid w:val="00902D35"/>
    <w:rsid w:val="00916E5B"/>
    <w:rsid w:val="00953BF5"/>
    <w:rsid w:val="00956FFD"/>
    <w:rsid w:val="00971C24"/>
    <w:rsid w:val="00974DC1"/>
    <w:rsid w:val="00987B1B"/>
    <w:rsid w:val="009A28CC"/>
    <w:rsid w:val="009C3164"/>
    <w:rsid w:val="009C35F0"/>
    <w:rsid w:val="009C6991"/>
    <w:rsid w:val="009D4A63"/>
    <w:rsid w:val="009E1707"/>
    <w:rsid w:val="009F1C21"/>
    <w:rsid w:val="00A130F1"/>
    <w:rsid w:val="00A30494"/>
    <w:rsid w:val="00A35755"/>
    <w:rsid w:val="00A47A04"/>
    <w:rsid w:val="00A62077"/>
    <w:rsid w:val="00A74446"/>
    <w:rsid w:val="00A7779B"/>
    <w:rsid w:val="00A86245"/>
    <w:rsid w:val="00AA0000"/>
    <w:rsid w:val="00AA5B7F"/>
    <w:rsid w:val="00AA71CF"/>
    <w:rsid w:val="00AD5062"/>
    <w:rsid w:val="00AE1F2B"/>
    <w:rsid w:val="00B127E0"/>
    <w:rsid w:val="00B609FF"/>
    <w:rsid w:val="00B73C89"/>
    <w:rsid w:val="00B94AFD"/>
    <w:rsid w:val="00BA243E"/>
    <w:rsid w:val="00BB3B72"/>
    <w:rsid w:val="00BB6F06"/>
    <w:rsid w:val="00BC62DB"/>
    <w:rsid w:val="00BD6D5C"/>
    <w:rsid w:val="00C075C7"/>
    <w:rsid w:val="00C146FA"/>
    <w:rsid w:val="00C25922"/>
    <w:rsid w:val="00C36632"/>
    <w:rsid w:val="00C42664"/>
    <w:rsid w:val="00C51236"/>
    <w:rsid w:val="00C54E36"/>
    <w:rsid w:val="00C635D9"/>
    <w:rsid w:val="00C6673C"/>
    <w:rsid w:val="00C66DA6"/>
    <w:rsid w:val="00C9094B"/>
    <w:rsid w:val="00C93B4A"/>
    <w:rsid w:val="00C97630"/>
    <w:rsid w:val="00CA43F3"/>
    <w:rsid w:val="00CC702D"/>
    <w:rsid w:val="00CD108B"/>
    <w:rsid w:val="00CD1474"/>
    <w:rsid w:val="00CD75C5"/>
    <w:rsid w:val="00CE7BA2"/>
    <w:rsid w:val="00CF1309"/>
    <w:rsid w:val="00D10B5F"/>
    <w:rsid w:val="00D2726D"/>
    <w:rsid w:val="00D37B34"/>
    <w:rsid w:val="00D55486"/>
    <w:rsid w:val="00D6330B"/>
    <w:rsid w:val="00D6605B"/>
    <w:rsid w:val="00D665E3"/>
    <w:rsid w:val="00D67C16"/>
    <w:rsid w:val="00D80942"/>
    <w:rsid w:val="00D87747"/>
    <w:rsid w:val="00D90A8E"/>
    <w:rsid w:val="00D974F3"/>
    <w:rsid w:val="00DA42B0"/>
    <w:rsid w:val="00DA6DD7"/>
    <w:rsid w:val="00DB1565"/>
    <w:rsid w:val="00DC3F92"/>
    <w:rsid w:val="00DE5E90"/>
    <w:rsid w:val="00DF105A"/>
    <w:rsid w:val="00DF3A29"/>
    <w:rsid w:val="00DF7B72"/>
    <w:rsid w:val="00E110F0"/>
    <w:rsid w:val="00E217F0"/>
    <w:rsid w:val="00E23B14"/>
    <w:rsid w:val="00E44F44"/>
    <w:rsid w:val="00E666B9"/>
    <w:rsid w:val="00E66F3D"/>
    <w:rsid w:val="00E77934"/>
    <w:rsid w:val="00E821EB"/>
    <w:rsid w:val="00E925AA"/>
    <w:rsid w:val="00E95F53"/>
    <w:rsid w:val="00E96C9C"/>
    <w:rsid w:val="00ED790A"/>
    <w:rsid w:val="00EE23C8"/>
    <w:rsid w:val="00F0028A"/>
    <w:rsid w:val="00F15082"/>
    <w:rsid w:val="00F31F92"/>
    <w:rsid w:val="00F41D4A"/>
    <w:rsid w:val="00F65844"/>
    <w:rsid w:val="00F65FB8"/>
    <w:rsid w:val="00F66C74"/>
    <w:rsid w:val="00F71162"/>
    <w:rsid w:val="00F80F93"/>
    <w:rsid w:val="00F96FF4"/>
    <w:rsid w:val="00F97606"/>
    <w:rsid w:val="00F97BF4"/>
    <w:rsid w:val="00FA6A51"/>
    <w:rsid w:val="00FC2175"/>
    <w:rsid w:val="00FC3382"/>
    <w:rsid w:val="00FC51D0"/>
    <w:rsid w:val="00FE310E"/>
    <w:rsid w:val="00FF4027"/>
    <w:rsid w:val="00FF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02BB24D"/>
  <w15:docId w15:val="{0D31E209-5A85-40B2-9030-C0B96186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5C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75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75C5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75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75C5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CD75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A">
    <w:name w:val="Body A"/>
    <w:rsid w:val="00CD7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1E7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2137D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35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C35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C35F0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35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35F0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E217F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65F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65FB8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65FB8"/>
    <w:rPr>
      <w:vertAlign w:val="superscript"/>
    </w:rPr>
  </w:style>
  <w:style w:type="table" w:styleId="Tablaconcuadrcula">
    <w:name w:val="Table Grid"/>
    <w:basedOn w:val="Tablanormal"/>
    <w:uiPriority w:val="39"/>
    <w:rsid w:val="003C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4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ram\AppData\Local\Microsoft\Windows\INetCache\Content.Outlook\30U1GW3V\Circular%20%20PACC%20(0000000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3A6FFA-4966-44D7-8C43-845136F3F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 PACC (00000002)</Template>
  <TotalTime>62</TotalTime>
  <Pages>4</Pages>
  <Words>952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Caram</dc:creator>
  <cp:keywords/>
  <dc:description/>
  <cp:lastModifiedBy>Katherine Johanna Gutierrez Figuereo</cp:lastModifiedBy>
  <cp:revision>3</cp:revision>
  <cp:lastPrinted>2021-01-07T12:52:00Z</cp:lastPrinted>
  <dcterms:created xsi:type="dcterms:W3CDTF">2023-01-05T17:28:00Z</dcterms:created>
  <dcterms:modified xsi:type="dcterms:W3CDTF">2023-01-05T17:30:00Z</dcterms:modified>
</cp:coreProperties>
</file>